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84"/>
          <w:szCs w:val="84"/>
          <w14:textFill>
            <w14:solidFill>
              <w14:schemeClr w14:val="tx1"/>
            </w14:solidFill>
          </w14:textFill>
        </w:rPr>
      </w:pPr>
    </w:p>
    <w:p>
      <w:pPr>
        <w:jc w:val="center"/>
        <w:rPr>
          <w:rFonts w:ascii="黑体" w:hAnsi="黑体" w:eastAsia="黑体"/>
          <w:b/>
          <w:color w:val="000000" w:themeColor="text1"/>
          <w:sz w:val="84"/>
          <w:szCs w:val="84"/>
          <w14:textFill>
            <w14:solidFill>
              <w14:schemeClr w14:val="tx1"/>
            </w14:solidFill>
          </w14:textFill>
        </w:rPr>
      </w:pPr>
    </w:p>
    <w:p>
      <w:pPr>
        <w:jc w:val="center"/>
        <w:rPr>
          <w:rFonts w:ascii="黑体" w:hAnsi="黑体" w:eastAsia="黑体"/>
          <w:b/>
          <w:color w:val="000000" w:themeColor="text1"/>
          <w:sz w:val="84"/>
          <w:szCs w:val="84"/>
          <w14:textFill>
            <w14:solidFill>
              <w14:schemeClr w14:val="tx1"/>
            </w14:solidFill>
          </w14:textFill>
        </w:rPr>
      </w:pPr>
    </w:p>
    <w:p>
      <w:pPr>
        <w:jc w:val="center"/>
        <w:rPr>
          <w:rFonts w:hint="eastAsia" w:ascii="黑体" w:hAnsi="黑体" w:eastAsia="黑体"/>
          <w:b/>
          <w:color w:val="000000" w:themeColor="text1"/>
          <w:sz w:val="72"/>
          <w:szCs w:val="72"/>
          <w:lang w:eastAsia="zh-CN"/>
          <w14:textFill>
            <w14:solidFill>
              <w14:schemeClr w14:val="tx1"/>
            </w14:solidFill>
          </w14:textFill>
        </w:rPr>
      </w:pPr>
      <w:r>
        <w:rPr>
          <w:rFonts w:hint="eastAsia" w:ascii="黑体" w:hAnsi="黑体" w:eastAsia="黑体"/>
          <w:b/>
          <w:color w:val="000000" w:themeColor="text1"/>
          <w:sz w:val="72"/>
          <w:szCs w:val="72"/>
          <w:lang w:eastAsia="zh-CN"/>
          <w14:textFill>
            <w14:solidFill>
              <w14:schemeClr w14:val="tx1"/>
            </w14:solidFill>
          </w14:textFill>
        </w:rPr>
        <w:t>浙江露华实业有限公司</w:t>
      </w:r>
    </w:p>
    <w:p>
      <w:pPr>
        <w:jc w:val="center"/>
        <w:rPr>
          <w:rFonts w:ascii="黑体" w:hAnsi="黑体" w:eastAsia="黑体"/>
          <w:b/>
          <w:color w:val="000000" w:themeColor="text1"/>
          <w:sz w:val="84"/>
          <w:szCs w:val="84"/>
          <w14:textFill>
            <w14:solidFill>
              <w14:schemeClr w14:val="tx1"/>
            </w14:solidFill>
          </w14:textFill>
        </w:rPr>
      </w:pPr>
      <w:r>
        <w:rPr>
          <w:rFonts w:hint="eastAsia" w:ascii="黑体" w:hAnsi="黑体" w:eastAsia="黑体"/>
          <w:b/>
          <w:color w:val="000000" w:themeColor="text1"/>
          <w:sz w:val="84"/>
          <w:szCs w:val="84"/>
          <w14:textFill>
            <w14:solidFill>
              <w14:schemeClr w14:val="tx1"/>
            </w14:solidFill>
          </w14:textFill>
        </w:rPr>
        <w:t>社会责任报告</w:t>
      </w:r>
    </w:p>
    <w:p>
      <w:pPr>
        <w:rPr>
          <w:rFonts w:ascii="黑体" w:hAnsi="黑体" w:eastAsia="黑体"/>
          <w:b/>
          <w:color w:val="000000" w:themeColor="text1"/>
          <w:sz w:val="32"/>
          <w:szCs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p>
    <w:p>
      <w:pPr>
        <w:jc w:val="center"/>
        <w:rPr>
          <w:rFonts w:hint="eastAsia" w:ascii="黑体" w:hAnsi="黑体" w:eastAsia="黑体"/>
          <w:b/>
          <w:color w:val="000000" w:themeColor="text1"/>
          <w:sz w:val="32"/>
          <w:szCs w:val="32"/>
          <w:lang w:eastAsia="zh-CN"/>
          <w14:textFill>
            <w14:solidFill>
              <w14:schemeClr w14:val="tx1"/>
            </w14:solidFill>
          </w14:textFill>
        </w:rPr>
      </w:pPr>
      <w:r>
        <w:rPr>
          <w:rFonts w:hint="eastAsia" w:ascii="黑体" w:hAnsi="黑体" w:eastAsia="黑体"/>
          <w:b/>
          <w:color w:val="000000" w:themeColor="text1"/>
          <w:sz w:val="32"/>
          <w:szCs w:val="32"/>
          <w:lang w:eastAsia="zh-CN"/>
          <w14:textFill>
            <w14:solidFill>
              <w14:schemeClr w14:val="tx1"/>
            </w14:solidFill>
          </w14:textFill>
        </w:rPr>
        <w:t>浙江露华实业有限公司</w:t>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20</w:t>
      </w:r>
      <w:r>
        <w:rPr>
          <w:rFonts w:ascii="黑体" w:hAnsi="黑体" w:eastAsia="黑体"/>
          <w:b/>
          <w:color w:val="000000" w:themeColor="text1"/>
          <w:sz w:val="32"/>
          <w:szCs w:val="32"/>
          <w14:textFill>
            <w14:solidFill>
              <w14:schemeClr w14:val="tx1"/>
            </w14:solidFill>
          </w14:textFill>
        </w:rPr>
        <w:t>2</w:t>
      </w:r>
      <w:r>
        <w:rPr>
          <w:rFonts w:hint="eastAsia" w:ascii="黑体" w:hAnsi="黑体" w:eastAsia="黑体"/>
          <w:b/>
          <w:color w:val="000000" w:themeColor="text1"/>
          <w:sz w:val="32"/>
          <w:szCs w:val="32"/>
          <w:lang w:val="en-US" w:eastAsia="zh-CN"/>
          <w14:textFill>
            <w14:solidFill>
              <w14:schemeClr w14:val="tx1"/>
            </w14:solidFill>
          </w14:textFill>
        </w:rPr>
        <w:t>2</w:t>
      </w:r>
      <w:r>
        <w:rPr>
          <w:rFonts w:hint="eastAsia" w:ascii="黑体" w:hAnsi="黑体" w:eastAsia="黑体"/>
          <w:b/>
          <w:color w:val="000000" w:themeColor="text1"/>
          <w:sz w:val="32"/>
          <w:szCs w:val="32"/>
          <w14:textFill>
            <w14:solidFill>
              <w14:schemeClr w14:val="tx1"/>
            </w14:solidFill>
          </w14:textFill>
        </w:rPr>
        <w:t>年</w:t>
      </w:r>
      <w:r>
        <w:rPr>
          <w:rFonts w:ascii="黑体" w:hAnsi="黑体" w:eastAsia="黑体"/>
          <w:b/>
          <w:color w:val="000000" w:themeColor="text1"/>
          <w:sz w:val="32"/>
          <w:szCs w:val="32"/>
          <w14:textFill>
            <w14:solidFill>
              <w14:schemeClr w14:val="tx1"/>
            </w14:solidFill>
          </w14:textFill>
        </w:rPr>
        <w:t xml:space="preserve"> </w:t>
      </w:r>
      <w:r>
        <w:rPr>
          <w:rFonts w:hint="eastAsia" w:ascii="黑体" w:hAnsi="黑体" w:eastAsia="黑体"/>
          <w:b/>
          <w:color w:val="000000" w:themeColor="text1"/>
          <w:sz w:val="32"/>
          <w:szCs w:val="32"/>
          <w:lang w:val="en-US" w:eastAsia="zh-CN"/>
          <w14:textFill>
            <w14:solidFill>
              <w14:schemeClr w14:val="tx1"/>
            </w14:solidFill>
          </w14:textFill>
        </w:rPr>
        <w:t>7</w:t>
      </w:r>
      <w:r>
        <w:rPr>
          <w:rFonts w:hint="eastAsia" w:ascii="黑体" w:hAnsi="黑体" w:eastAsia="黑体"/>
          <w:b/>
          <w:color w:val="000000" w:themeColor="text1"/>
          <w:sz w:val="32"/>
          <w:szCs w:val="32"/>
          <w14:textFill>
            <w14:solidFill>
              <w14:schemeClr w14:val="tx1"/>
            </w14:solidFill>
          </w14:textFill>
        </w:rPr>
        <w:t>月</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日公布</w:t>
      </w:r>
    </w:p>
    <w:p>
      <w:pPr>
        <w:widowControl/>
        <w:jc w:val="left"/>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br w:type="page"/>
      </w:r>
    </w:p>
    <w:p>
      <w:pPr>
        <w:spacing w:after="312" w:afterLines="100"/>
        <w:rPr>
          <w:rFonts w:ascii="黑体" w:hAnsi="黑体" w:eastAsia="黑体"/>
          <w:b/>
          <w:color w:val="E46C0A" w:themeColor="accent6" w:themeShade="BF"/>
          <w:sz w:val="36"/>
          <w:szCs w:val="36"/>
        </w:rPr>
      </w:pPr>
      <w:r>
        <w:rPr>
          <w:rFonts w:hint="eastAsia" w:ascii="黑体" w:hAnsi="黑体" w:eastAsia="黑体"/>
          <w:b/>
          <w:color w:val="E46C0A" w:themeColor="accent6" w:themeShade="BF"/>
          <w:sz w:val="36"/>
          <w:szCs w:val="36"/>
        </w:rPr>
        <w:t>报告说明</w:t>
      </w:r>
    </w:p>
    <w:p>
      <w:pPr>
        <w:rPr>
          <w:rFonts w:ascii="黑体" w:hAnsi="黑体" w:eastAsia="黑体"/>
          <w:b/>
          <w:color w:val="E46C0A" w:themeColor="accent6" w:themeShade="BF"/>
          <w:sz w:val="28"/>
          <w:szCs w:val="28"/>
        </w:rPr>
      </w:pPr>
      <w:r>
        <w:rPr>
          <w:rFonts w:hint="eastAsia" w:ascii="黑体" w:hAnsi="黑体" w:eastAsia="黑体"/>
          <w:b/>
          <w:color w:val="E46C0A" w:themeColor="accent6" w:themeShade="BF"/>
          <w:sz w:val="28"/>
          <w:szCs w:val="28"/>
        </w:rPr>
        <w:t>1、报告范围</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本报告是</w:t>
      </w:r>
      <w:r>
        <w:rPr>
          <w:rFonts w:hint="eastAsia" w:asciiTheme="minorEastAsia" w:hAnsiTheme="minorEastAsia"/>
          <w:bCs/>
          <w:color w:val="000000" w:themeColor="text1"/>
          <w:sz w:val="28"/>
          <w:szCs w:val="28"/>
          <w:lang w:eastAsia="zh-CN"/>
          <w14:textFill>
            <w14:solidFill>
              <w14:schemeClr w14:val="tx1"/>
            </w14:solidFill>
          </w14:textFill>
        </w:rPr>
        <w:t>浙江露华实业有限公司</w:t>
      </w:r>
      <w:r>
        <w:rPr>
          <w:rFonts w:hint="eastAsia" w:asciiTheme="minorEastAsia" w:hAnsiTheme="minorEastAsia"/>
          <w:bCs/>
          <w:color w:val="000000" w:themeColor="text1"/>
          <w:sz w:val="28"/>
          <w:szCs w:val="28"/>
          <w14:textFill>
            <w14:solidFill>
              <w14:schemeClr w14:val="tx1"/>
            </w14:solidFill>
          </w14:textFill>
        </w:rPr>
        <w:t>发布的首份企业社会责任报告，信息和数据主要涵盖了</w:t>
      </w:r>
      <w:r>
        <w:rPr>
          <w:rFonts w:hint="eastAsia" w:asciiTheme="minorEastAsia" w:hAnsiTheme="minorEastAsia"/>
          <w:bCs/>
          <w:color w:val="000000" w:themeColor="text1"/>
          <w:sz w:val="28"/>
          <w:szCs w:val="28"/>
          <w:lang w:val="en-US" w:eastAsia="zh-CN"/>
          <w14:textFill>
            <w14:solidFill>
              <w14:schemeClr w14:val="tx1"/>
            </w14:solidFill>
          </w14:textFill>
        </w:rPr>
        <w:t>2021</w:t>
      </w:r>
      <w:r>
        <w:rPr>
          <w:rFonts w:hint="eastAsia" w:asciiTheme="minorEastAsia" w:hAnsiTheme="minorEastAsia"/>
          <w:bCs/>
          <w:color w:val="000000" w:themeColor="text1"/>
          <w:sz w:val="28"/>
          <w:szCs w:val="28"/>
          <w14:textFill>
            <w14:solidFill>
              <w14:schemeClr w14:val="tx1"/>
            </w14:solidFill>
          </w14:textFill>
        </w:rPr>
        <w:t>年1月1日至20</w:t>
      </w:r>
      <w:r>
        <w:rPr>
          <w:rFonts w:hint="eastAsia" w:asciiTheme="minorEastAsia" w:hAnsiTheme="minorEastAsia"/>
          <w:bCs/>
          <w:color w:val="000000" w:themeColor="text1"/>
          <w:sz w:val="28"/>
          <w:szCs w:val="28"/>
          <w:lang w:val="en-US" w:eastAsia="zh-CN"/>
          <w14:textFill>
            <w14:solidFill>
              <w14:schemeClr w14:val="tx1"/>
            </w14:solidFill>
          </w14:textFill>
        </w:rPr>
        <w:t>21</w:t>
      </w:r>
      <w:r>
        <w:rPr>
          <w:rFonts w:hint="eastAsia" w:asciiTheme="minorEastAsia" w:hAnsiTheme="minorEastAsia"/>
          <w:bCs/>
          <w:color w:val="000000" w:themeColor="text1"/>
          <w:sz w:val="28"/>
          <w:szCs w:val="28"/>
          <w14:textFill>
            <w14:solidFill>
              <w14:schemeClr w14:val="tx1"/>
            </w14:solidFill>
          </w14:textFill>
        </w:rPr>
        <w:t xml:space="preserve">年12月31日期间公司各项企业社会责任实践活动，基于报告的延续性和对比性。 </w:t>
      </w:r>
    </w:p>
    <w:p>
      <w:pPr>
        <w:rPr>
          <w:rFonts w:ascii="黑体" w:hAnsi="黑体" w:eastAsia="黑体"/>
          <w:b/>
          <w:color w:val="E46C0A" w:themeColor="accent6" w:themeShade="BF"/>
          <w:sz w:val="28"/>
          <w:szCs w:val="28"/>
        </w:rPr>
      </w:pPr>
      <w:r>
        <w:rPr>
          <w:rFonts w:hint="eastAsia" w:ascii="黑体" w:hAnsi="黑体" w:eastAsia="黑体"/>
          <w:b/>
          <w:color w:val="E46C0A" w:themeColor="accent6" w:themeShade="BF"/>
          <w:sz w:val="28"/>
          <w:szCs w:val="28"/>
        </w:rPr>
        <w:t>2、编制原则</w:t>
      </w:r>
    </w:p>
    <w:p>
      <w:pPr>
        <w:rPr>
          <w:rFonts w:asciiTheme="minorEastAsia" w:hAnsiTheme="minorEastAsia"/>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 xml:space="preserve">   </w:t>
      </w:r>
      <w:r>
        <w:rPr>
          <w:rFonts w:hint="eastAsia" w:asciiTheme="minorEastAsia" w:hAnsiTheme="minorEastAsia"/>
          <w:bCs/>
          <w:color w:val="000000" w:themeColor="text1"/>
          <w:sz w:val="28"/>
          <w:szCs w:val="28"/>
          <w14:textFill>
            <w14:solidFill>
              <w14:schemeClr w14:val="tx1"/>
            </w14:solidFill>
          </w14:textFill>
        </w:rPr>
        <w:t xml:space="preserve"> 本报告基本按照利益相关方参与原则、可持续发展背景原则、实质性原则、完整性原则、可比性原则、准确性原则、时效性原则、清晰性原则和可靠性原则进行编制。</w:t>
      </w:r>
    </w:p>
    <w:p>
      <w:pPr>
        <w:rPr>
          <w:rFonts w:ascii="黑体" w:hAnsi="黑体" w:eastAsia="黑体"/>
          <w:b/>
          <w:color w:val="E46C0A" w:themeColor="accent6" w:themeShade="BF"/>
          <w:sz w:val="28"/>
          <w:szCs w:val="28"/>
        </w:rPr>
      </w:pPr>
      <w:r>
        <w:rPr>
          <w:rFonts w:hint="eastAsia" w:ascii="黑体" w:hAnsi="黑体" w:eastAsia="黑体"/>
          <w:b/>
          <w:color w:val="E46C0A" w:themeColor="accent6" w:themeShade="BF"/>
          <w:sz w:val="28"/>
          <w:szCs w:val="28"/>
        </w:rPr>
        <w:t>3、内容选择</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报告选取了董事长致辞、公司概况、公司治理、环境保护、职业健康安全管理、员工发展、服务社会等方面的内容。</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本报告的数据和信息收集工作按公司现有工作流程进行。</w:t>
      </w:r>
    </w:p>
    <w:p>
      <w:pPr>
        <w:rPr>
          <w:rFonts w:ascii="黑体" w:hAnsi="黑体" w:eastAsia="黑体"/>
          <w:b/>
          <w:color w:val="E46C0A" w:themeColor="accent6" w:themeShade="BF"/>
          <w:sz w:val="28"/>
          <w:szCs w:val="28"/>
        </w:rPr>
      </w:pPr>
      <w:r>
        <w:rPr>
          <w:rFonts w:hint="eastAsia" w:ascii="黑体" w:hAnsi="黑体" w:eastAsia="黑体"/>
          <w:b/>
          <w:color w:val="E46C0A" w:themeColor="accent6" w:themeShade="BF"/>
          <w:sz w:val="28"/>
          <w:szCs w:val="28"/>
        </w:rPr>
        <w:t>4、指代说明</w:t>
      </w:r>
    </w:p>
    <w:p>
      <w:pPr>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报告中</w:t>
      </w:r>
      <w:r>
        <w:rPr>
          <w:rFonts w:hint="eastAsia" w:asciiTheme="minorEastAsia" w:hAnsiTheme="minorEastAsia"/>
          <w:bCs/>
          <w:color w:val="000000" w:themeColor="text1"/>
          <w:sz w:val="28"/>
          <w:szCs w:val="28"/>
          <w:lang w:eastAsia="zh-CN"/>
          <w14:textFill>
            <w14:solidFill>
              <w14:schemeClr w14:val="tx1"/>
            </w14:solidFill>
          </w14:textFill>
        </w:rPr>
        <w:t>浙江露华实业有限公司</w:t>
      </w:r>
      <w:r>
        <w:rPr>
          <w:rFonts w:hint="eastAsia" w:asciiTheme="minorEastAsia" w:hAnsiTheme="minorEastAsia"/>
          <w:bCs/>
          <w:color w:val="000000" w:themeColor="text1"/>
          <w:sz w:val="28"/>
          <w:szCs w:val="28"/>
          <w14:textFill>
            <w14:solidFill>
              <w14:schemeClr w14:val="tx1"/>
            </w14:solidFill>
          </w14:textFill>
        </w:rPr>
        <w:t xml:space="preserve">简称为 “公司” </w:t>
      </w:r>
    </w:p>
    <w:p>
      <w:pPr>
        <w:numPr>
          <w:ilvl w:val="0"/>
          <w:numId w:val="1"/>
        </w:numPr>
        <w:rPr>
          <w:rFonts w:ascii="黑体" w:hAnsi="黑体" w:eastAsia="黑体"/>
          <w:b/>
          <w:color w:val="E46C0A" w:themeColor="accent6" w:themeShade="BF"/>
          <w:sz w:val="28"/>
          <w:szCs w:val="28"/>
        </w:rPr>
      </w:pPr>
      <w:r>
        <w:rPr>
          <w:rFonts w:hint="eastAsia" w:ascii="黑体" w:hAnsi="黑体" w:eastAsia="黑体"/>
          <w:b/>
          <w:color w:val="E46C0A" w:themeColor="accent6" w:themeShade="BF"/>
          <w:sz w:val="28"/>
          <w:szCs w:val="28"/>
        </w:rPr>
        <w:t>本报告版权归</w:t>
      </w:r>
      <w:r>
        <w:rPr>
          <w:rFonts w:hint="eastAsia" w:ascii="黑体" w:hAnsi="黑体" w:eastAsia="黑体"/>
          <w:b/>
          <w:color w:val="E46C0A" w:themeColor="accent6" w:themeShade="BF"/>
          <w:sz w:val="28"/>
          <w:szCs w:val="28"/>
          <w:lang w:eastAsia="zh-CN"/>
        </w:rPr>
        <w:t>浙江露华实业有限公司</w:t>
      </w:r>
      <w:r>
        <w:rPr>
          <w:rFonts w:hint="eastAsia" w:ascii="黑体" w:hAnsi="黑体" w:eastAsia="黑体"/>
          <w:b/>
          <w:color w:val="E46C0A" w:themeColor="accent6" w:themeShade="BF"/>
          <w:sz w:val="28"/>
          <w:szCs w:val="28"/>
        </w:rPr>
        <w:t>所有。</w:t>
      </w:r>
    </w:p>
    <w:p>
      <w:pPr>
        <w:rPr>
          <w:rFonts w:ascii="黑体" w:hAnsi="黑体" w:eastAsia="黑体"/>
          <w:b/>
          <w:color w:val="000000" w:themeColor="text1"/>
          <w:sz w:val="28"/>
          <w:szCs w:val="28"/>
          <w14:textFill>
            <w14:solidFill>
              <w14:schemeClr w14:val="tx1"/>
            </w14:solidFill>
          </w14:textFill>
        </w:rPr>
      </w:pPr>
    </w:p>
    <w:p>
      <w:pPr>
        <w:rPr>
          <w:rFonts w:ascii="黑体" w:hAnsi="黑体" w:eastAsia="黑体"/>
          <w:b/>
          <w:color w:val="000000" w:themeColor="text1"/>
          <w:sz w:val="28"/>
          <w:szCs w:val="28"/>
          <w14:textFill>
            <w14:solidFill>
              <w14:schemeClr w14:val="tx1"/>
            </w14:solidFill>
          </w14:textFill>
        </w:rPr>
      </w:pPr>
    </w:p>
    <w:p>
      <w:pPr>
        <w:rPr>
          <w:rFonts w:ascii="黑体" w:hAnsi="黑体" w:eastAsia="黑体"/>
          <w:b/>
          <w:color w:val="000000" w:themeColor="text1"/>
          <w:sz w:val="28"/>
          <w:szCs w:val="28"/>
          <w14:textFill>
            <w14:solidFill>
              <w14:schemeClr w14:val="tx1"/>
            </w14:solidFill>
          </w14:textFill>
        </w:rPr>
      </w:pPr>
    </w:p>
    <w:p>
      <w:pPr>
        <w:rPr>
          <w:rFonts w:ascii="黑体" w:hAnsi="黑体" w:eastAsia="黑体"/>
          <w:b/>
          <w:color w:val="000000" w:themeColor="text1"/>
          <w:sz w:val="28"/>
          <w:szCs w:val="28"/>
          <w14:textFill>
            <w14:solidFill>
              <w14:schemeClr w14:val="tx1"/>
            </w14:solidFill>
          </w14:textFill>
        </w:rPr>
      </w:pPr>
    </w:p>
    <w:p>
      <w:pPr>
        <w:spacing w:before="156" w:beforeLines="50" w:after="156" w:afterLines="50" w:line="360" w:lineRule="auto"/>
        <w:rPr>
          <w:rFonts w:ascii="黑体" w:hAnsi="黑体" w:eastAsia="黑体"/>
          <w:b/>
          <w:color w:val="000000" w:themeColor="text1"/>
          <w:sz w:val="32"/>
          <w:szCs w:val="32"/>
          <w14:textFill>
            <w14:solidFill>
              <w14:schemeClr w14:val="tx1"/>
            </w14:solidFill>
          </w14:textFill>
        </w:rPr>
      </w:pPr>
    </w:p>
    <w:p>
      <w:pPr>
        <w:spacing w:before="156" w:beforeLines="50" w:after="156" w:afterLines="50" w:line="360" w:lineRule="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公司概况</w:t>
      </w:r>
    </w:p>
    <w:p>
      <w:pPr>
        <w:numPr>
          <w:ilvl w:val="0"/>
          <w:numId w:val="2"/>
        </w:numPr>
        <w:rPr>
          <w:rFonts w:ascii="黑体" w:hAnsi="黑体" w:eastAsia="黑体"/>
          <w:b/>
          <w:sz w:val="28"/>
          <w:szCs w:val="28"/>
        </w:rPr>
      </w:pPr>
      <w:r>
        <w:rPr>
          <w:rFonts w:hint="eastAsia" w:ascii="黑体" w:hAnsi="黑体" w:eastAsia="黑体"/>
          <w:b/>
          <w:sz w:val="28"/>
          <w:szCs w:val="28"/>
        </w:rPr>
        <w:t>公司简介</w:t>
      </w:r>
    </w:p>
    <w:p>
      <w:pPr>
        <w:spacing w:line="360" w:lineRule="auto"/>
        <w:ind w:firstLine="480" w:firstLineChars="200"/>
        <w:rPr>
          <w:rFonts w:hint="eastAsia" w:asciiTheme="minorEastAsia" w:hAnsiTheme="minorEastAsia" w:cstheme="minorEastAsia"/>
          <w:bCs/>
          <w:sz w:val="24"/>
          <w:szCs w:val="24"/>
        </w:rPr>
      </w:pPr>
      <w:r>
        <w:rPr>
          <w:rFonts w:hint="eastAsia" w:ascii="宋体" w:hAnsi="宋体"/>
          <w:kern w:val="0"/>
          <w:sz w:val="24"/>
          <w:szCs w:val="24"/>
          <w:lang w:val="en-US" w:eastAsia="zh-CN"/>
        </w:rPr>
        <w:t>浙江露华实业有限公司</w:t>
      </w:r>
      <w:r>
        <w:rPr>
          <w:rFonts w:hint="eastAsia" w:ascii="宋体" w:hAnsi="宋体"/>
          <w:kern w:val="0"/>
          <w:sz w:val="24"/>
          <w:szCs w:val="24"/>
        </w:rPr>
        <w:t>创建于199</w:t>
      </w:r>
      <w:r>
        <w:rPr>
          <w:rFonts w:hint="eastAsia" w:ascii="宋体" w:hAnsi="宋体"/>
          <w:kern w:val="0"/>
          <w:sz w:val="24"/>
          <w:szCs w:val="24"/>
          <w:lang w:val="en-US" w:eastAsia="zh-CN"/>
        </w:rPr>
        <w:t>5</w:t>
      </w:r>
      <w:r>
        <w:rPr>
          <w:rFonts w:hint="eastAsia" w:ascii="宋体" w:hAnsi="宋体"/>
          <w:kern w:val="0"/>
          <w:sz w:val="24"/>
          <w:szCs w:val="24"/>
        </w:rPr>
        <w:t>年，</w:t>
      </w:r>
      <w:r>
        <w:rPr>
          <w:rFonts w:hint="eastAsia" w:ascii="宋体" w:hAnsi="宋体"/>
          <w:kern w:val="0"/>
          <w:sz w:val="24"/>
          <w:szCs w:val="24"/>
          <w:lang w:eastAsia="zh-CN"/>
        </w:rPr>
        <w:t>位于风景秀丽的杭州西郊临安区玲珑工业园区,交通、通讯十分便利</w:t>
      </w:r>
      <w:r>
        <w:rPr>
          <w:rFonts w:hint="eastAsia" w:ascii="宋体" w:hAnsi="宋体"/>
          <w:kern w:val="0"/>
          <w:sz w:val="24"/>
          <w:szCs w:val="24"/>
        </w:rPr>
        <w:t>，占地</w:t>
      </w:r>
      <w:r>
        <w:rPr>
          <w:rFonts w:hint="eastAsia" w:ascii="宋体" w:hAnsi="宋体"/>
          <w:kern w:val="0"/>
          <w:sz w:val="24"/>
          <w:szCs w:val="24"/>
          <w:lang w:val="en-US" w:eastAsia="zh-CN"/>
        </w:rPr>
        <w:t>3</w:t>
      </w:r>
      <w:r>
        <w:rPr>
          <w:rFonts w:hint="eastAsia" w:ascii="宋体" w:hAnsi="宋体"/>
          <w:kern w:val="0"/>
          <w:sz w:val="24"/>
          <w:szCs w:val="24"/>
        </w:rPr>
        <w:t>000平方米</w:t>
      </w:r>
      <w:r>
        <w:rPr>
          <w:rFonts w:hint="eastAsia" w:ascii="宋体" w:hAnsi="宋体"/>
          <w:kern w:val="0"/>
          <w:sz w:val="24"/>
          <w:szCs w:val="24"/>
          <w:lang w:val="en-US" w:eastAsia="zh-CN"/>
        </w:rPr>
        <w:t>左右</w:t>
      </w:r>
      <w:r>
        <w:rPr>
          <w:rFonts w:hint="eastAsia" w:ascii="宋体" w:hAnsi="宋体"/>
          <w:kern w:val="0"/>
          <w:sz w:val="24"/>
          <w:szCs w:val="24"/>
        </w:rPr>
        <w:t>，共有员</w:t>
      </w:r>
      <w:r>
        <w:rPr>
          <w:rFonts w:hint="eastAsia" w:ascii="宋体" w:hAnsi="宋体"/>
          <w:color w:val="000000" w:themeColor="text1"/>
          <w:kern w:val="0"/>
          <w:sz w:val="24"/>
          <w:szCs w:val="24"/>
          <w14:textFill>
            <w14:solidFill>
              <w14:schemeClr w14:val="tx1"/>
            </w14:solidFill>
          </w14:textFill>
        </w:rPr>
        <w:t>工</w:t>
      </w:r>
      <w:r>
        <w:rPr>
          <w:rFonts w:hint="eastAsia" w:ascii="宋体" w:hAnsi="宋体"/>
          <w:color w:val="000000" w:themeColor="text1"/>
          <w:kern w:val="0"/>
          <w:sz w:val="24"/>
          <w:szCs w:val="24"/>
          <w:lang w:val="en-US" w:eastAsia="zh-CN"/>
          <w14:textFill>
            <w14:solidFill>
              <w14:schemeClr w14:val="tx1"/>
            </w14:solidFill>
          </w14:textFill>
        </w:rPr>
        <w:t>26</w:t>
      </w:r>
      <w:r>
        <w:rPr>
          <w:rFonts w:hint="eastAsia" w:ascii="宋体" w:hAnsi="宋体"/>
          <w:color w:val="000000" w:themeColor="text1"/>
          <w:kern w:val="0"/>
          <w:sz w:val="24"/>
          <w:szCs w:val="24"/>
          <w14:textFill>
            <w14:solidFill>
              <w14:schemeClr w14:val="tx1"/>
            </w14:solidFill>
          </w14:textFill>
        </w:rPr>
        <w:t>名，</w:t>
      </w:r>
      <w:r>
        <w:rPr>
          <w:rFonts w:hint="eastAsia" w:ascii="宋体" w:hAnsi="宋体"/>
          <w:kern w:val="0"/>
          <w:sz w:val="24"/>
          <w:szCs w:val="24"/>
        </w:rPr>
        <w:t>其中电缆技术人员</w:t>
      </w:r>
      <w:r>
        <w:rPr>
          <w:rFonts w:hint="eastAsia" w:ascii="宋体" w:hAnsi="宋体"/>
          <w:kern w:val="0"/>
          <w:sz w:val="24"/>
          <w:szCs w:val="24"/>
          <w:lang w:val="en-US" w:eastAsia="zh-CN"/>
        </w:rPr>
        <w:t>5</w:t>
      </w:r>
      <w:r>
        <w:rPr>
          <w:rFonts w:hint="eastAsia" w:ascii="宋体" w:hAnsi="宋体"/>
          <w:kern w:val="0"/>
          <w:sz w:val="24"/>
          <w:szCs w:val="24"/>
        </w:rPr>
        <w:t>名，具备自主创新设计产品的能力</w:t>
      </w:r>
      <w:r>
        <w:rPr>
          <w:rFonts w:hint="eastAsia" w:asciiTheme="minorEastAsia" w:hAnsiTheme="minorEastAsia" w:cstheme="minorEastAsia"/>
          <w:bCs/>
          <w:sz w:val="24"/>
          <w:szCs w:val="24"/>
        </w:rPr>
        <w:t>，本公司生产的“</w:t>
      </w:r>
      <w:r>
        <w:rPr>
          <w:rFonts w:hint="eastAsia" w:asciiTheme="minorEastAsia" w:hAnsiTheme="minorEastAsia" w:cstheme="minorEastAsia"/>
          <w:bCs/>
          <w:sz w:val="24"/>
          <w:szCs w:val="24"/>
          <w:lang w:eastAsia="zh-CN"/>
        </w:rPr>
        <w:t>露华</w:t>
      </w:r>
      <w:r>
        <w:rPr>
          <w:rFonts w:hint="eastAsia" w:asciiTheme="minorEastAsia" w:hAnsiTheme="minorEastAsia" w:cstheme="minorEastAsia"/>
          <w:bCs/>
          <w:sz w:val="24"/>
          <w:szCs w:val="24"/>
        </w:rPr>
        <w:t>”牌同轴电缆,已有十几年的生产历史,现有固定资产 3000 万,流动资金</w:t>
      </w:r>
      <w:r>
        <w:rPr>
          <w:rFonts w:hint="eastAsia" w:asciiTheme="minorEastAsia" w:hAnsiTheme="minorEastAsia" w:cstheme="minorEastAsia"/>
          <w:bCs/>
          <w:sz w:val="24"/>
          <w:szCs w:val="24"/>
          <w:lang w:val="en-US" w:eastAsia="zh-CN"/>
        </w:rPr>
        <w:t>1</w:t>
      </w:r>
      <w:r>
        <w:rPr>
          <w:rFonts w:hint="eastAsia" w:asciiTheme="minorEastAsia" w:hAnsiTheme="minorEastAsia" w:cstheme="minorEastAsia"/>
          <w:bCs/>
          <w:sz w:val="24"/>
          <w:szCs w:val="24"/>
        </w:rPr>
        <w:t>000 万。 公司专业生产高品质有线电视同轴电缆、数字通信对称电缆、50Ω系列通信电缆、高速率数字传输 电缆、宽带网各种五类电缆及超五类电缆、保安与工业监控电缆、低损耗高频电缆、多重结构多芯 控制综合电缆、程控电话设备电缆、光缆、电线电缆、H</w:t>
      </w:r>
      <w:r>
        <w:rPr>
          <w:rFonts w:hint="eastAsia" w:asciiTheme="minorEastAsia" w:hAnsiTheme="minorEastAsia" w:cstheme="minorEastAsia"/>
          <w:bCs/>
          <w:sz w:val="24"/>
          <w:szCs w:val="24"/>
          <w:lang w:eastAsia="zh-CN"/>
        </w:rPr>
        <w:t>LH</w:t>
      </w:r>
      <w:r>
        <w:rPr>
          <w:rFonts w:hint="eastAsia" w:asciiTheme="minorEastAsia" w:hAnsiTheme="minorEastAsia" w:cstheme="minorEastAsia"/>
          <w:bCs/>
          <w:sz w:val="24"/>
          <w:szCs w:val="24"/>
        </w:rPr>
        <w:t>I 电线等。</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公司本着在产品、活动和服务过程中不断提高绿色环保水平，实施清洁生产、安全处置。通过对日常管理过程涉及的重要环境因素的控制、及适用法律法规的控制，实施预防污染，实现节能减排。同时不断改善员工工作和生活条件，加强职业保护和职业防护，切实维护职工身心健康，杜绝重大工伤事故。通过对相关方施加环境影响，让大家一起承担相应的环境责任和社会责任，保护我们共同的家园。</w:t>
      </w:r>
    </w:p>
    <w:p>
      <w:pPr>
        <w:spacing w:line="360" w:lineRule="auto"/>
        <w:ind w:firstLine="480" w:firstLineChars="200"/>
        <w:rPr>
          <w:rFonts w:asciiTheme="minorEastAsia" w:hAnsiTheme="minorEastAsia" w:cstheme="minorEastAsia"/>
          <w:bCs/>
          <w:sz w:val="24"/>
          <w:szCs w:val="24"/>
        </w:rPr>
      </w:pPr>
    </w:p>
    <w:p>
      <w:pPr>
        <w:spacing w:line="360" w:lineRule="auto"/>
        <w:ind w:firstLine="480" w:firstLineChars="200"/>
        <w:rPr>
          <w:rFonts w:asciiTheme="minorEastAsia" w:hAnsiTheme="minorEastAsia" w:cstheme="minorEastAsia"/>
          <w:bCs/>
          <w:sz w:val="24"/>
          <w:szCs w:val="24"/>
        </w:rPr>
      </w:pP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浙江省临安区玲珑山路 598 号</w:t>
      </w:r>
    </w:p>
    <w:p>
      <w:pPr>
        <w:ind w:firstLine="560" w:firstLineChars="200"/>
        <w:rPr>
          <w:rFonts w:asciiTheme="minorEastAsia" w:hAnsiTheme="minorEastAsia" w:cstheme="minorEastAsia"/>
          <w:bCs/>
          <w:sz w:val="28"/>
          <w:szCs w:val="28"/>
        </w:rPr>
      </w:pPr>
    </w:p>
    <w:p>
      <w:pPr>
        <w:ind w:firstLine="560" w:firstLineChars="200"/>
        <w:rPr>
          <w:rFonts w:asciiTheme="minorEastAsia" w:hAnsiTheme="minorEastAsia" w:cstheme="minorEastAsia"/>
          <w:bCs/>
          <w:sz w:val="28"/>
          <w:szCs w:val="28"/>
        </w:rPr>
      </w:pPr>
    </w:p>
    <w:p>
      <w:pPr>
        <w:ind w:firstLine="560" w:firstLineChars="200"/>
        <w:rPr>
          <w:rFonts w:asciiTheme="minorEastAsia" w:hAnsiTheme="minorEastAsia" w:cstheme="minorEastAsia"/>
          <w:bCs/>
          <w:sz w:val="28"/>
          <w:szCs w:val="28"/>
        </w:rPr>
      </w:pPr>
    </w:p>
    <w:p>
      <w:pPr>
        <w:ind w:firstLine="560" w:firstLineChars="200"/>
        <w:rPr>
          <w:rFonts w:asciiTheme="minorEastAsia" w:hAnsiTheme="minorEastAsia" w:cstheme="minorEastAsia"/>
          <w:bCs/>
          <w:sz w:val="28"/>
          <w:szCs w:val="28"/>
        </w:rPr>
      </w:pPr>
    </w:p>
    <w:p>
      <w:pPr>
        <w:ind w:firstLine="560" w:firstLineChars="200"/>
        <w:rPr>
          <w:rFonts w:asciiTheme="minorEastAsia" w:hAnsiTheme="minorEastAsia" w:cstheme="minorEastAsia"/>
          <w:bCs/>
          <w:sz w:val="28"/>
          <w:szCs w:val="28"/>
        </w:rPr>
      </w:pPr>
    </w:p>
    <w:p>
      <w:pPr>
        <w:ind w:firstLine="560" w:firstLineChars="200"/>
        <w:rPr>
          <w:rFonts w:asciiTheme="minorEastAsia" w:hAnsiTheme="minorEastAsia" w:cstheme="minorEastAsia"/>
          <w:bCs/>
          <w:sz w:val="28"/>
          <w:szCs w:val="28"/>
        </w:rPr>
      </w:pPr>
    </w:p>
    <w:p>
      <w:pPr>
        <w:ind w:firstLine="560" w:firstLineChars="200"/>
        <w:rPr>
          <w:rFonts w:hint="eastAsia" w:asciiTheme="minorEastAsia" w:hAnsiTheme="minorEastAsia" w:cstheme="minorEastAsia"/>
          <w:bCs/>
          <w:sz w:val="28"/>
          <w:szCs w:val="28"/>
        </w:rPr>
      </w:pPr>
    </w:p>
    <w:p>
      <w:pPr>
        <w:rPr>
          <w:rFonts w:ascii="黑体" w:hAnsi="黑体" w:eastAsia="黑体"/>
          <w:b/>
          <w:sz w:val="28"/>
          <w:szCs w:val="28"/>
        </w:rPr>
      </w:pPr>
      <w:r>
        <w:rPr>
          <w:rFonts w:hint="eastAsia" w:ascii="黑体" w:hAnsi="黑体" w:eastAsia="黑体"/>
          <w:b/>
          <w:sz w:val="28"/>
          <w:szCs w:val="28"/>
        </w:rPr>
        <w:t>二、公司文化</w:t>
      </w:r>
    </w:p>
    <w:p>
      <w:pPr>
        <w:spacing w:before="156" w:beforeLines="50" w:after="156" w:afterLines="50" w:line="360" w:lineRule="auto"/>
        <w:rPr>
          <w:rFonts w:asciiTheme="minorEastAsia" w:hAnsiTheme="minorEastAsia"/>
          <w:bCs/>
          <w:sz w:val="28"/>
          <w:szCs w:val="28"/>
        </w:rPr>
      </w:pPr>
      <w:r>
        <w:rPr>
          <w:rFonts w:hint="eastAsia" w:ascii="黑体" w:hAnsi="黑体" w:eastAsia="黑体"/>
          <w:b/>
          <w:sz w:val="28"/>
          <w:szCs w:val="28"/>
        </w:rPr>
        <w:t xml:space="preserve">    </w:t>
      </w:r>
      <w:r>
        <w:rPr>
          <w:rFonts w:hint="eastAsia" w:asciiTheme="minorEastAsia" w:hAnsiTheme="minorEastAsia"/>
          <w:bCs/>
          <w:sz w:val="28"/>
          <w:szCs w:val="28"/>
        </w:rPr>
        <w:t>公司在</w:t>
      </w:r>
      <w:r>
        <w:rPr>
          <w:rFonts w:asciiTheme="minorEastAsia" w:hAnsiTheme="minorEastAsia"/>
          <w:bCs/>
          <w:sz w:val="28"/>
          <w:szCs w:val="28"/>
        </w:rPr>
        <w:t>20</w:t>
      </w:r>
      <w:r>
        <w:rPr>
          <w:rFonts w:hint="eastAsia" w:asciiTheme="minorEastAsia" w:hAnsiTheme="minorEastAsia"/>
          <w:bCs/>
          <w:sz w:val="28"/>
          <w:szCs w:val="28"/>
        </w:rPr>
        <w:t>多年的发展和经营过程中，通过成功要素的总结、分析，逐步明晰，形成了自己独特的公司文化，包括：</w:t>
      </w:r>
    </w:p>
    <w:p>
      <w:pPr>
        <w:spacing w:before="156" w:beforeLines="50" w:after="156" w:afterLines="50" w:line="360" w:lineRule="auto"/>
        <w:rPr>
          <w:rFonts w:hint="eastAsia" w:ascii="宋体" w:hAnsi="宋体" w:eastAsia="宋体" w:cs="宋体"/>
          <w:bCs/>
          <w:sz w:val="28"/>
          <w:szCs w:val="28"/>
        </w:rPr>
      </w:pPr>
      <w:r>
        <w:rPr>
          <w:rFonts w:hint="eastAsia" w:asciiTheme="minorEastAsia" w:hAnsiTheme="minorEastAsia"/>
          <w:bCs/>
          <w:sz w:val="28"/>
          <w:szCs w:val="28"/>
        </w:rPr>
        <w:t xml:space="preserve"> </w:t>
      </w:r>
      <w:r>
        <w:rPr>
          <w:rFonts w:hint="eastAsia" w:asciiTheme="minorEastAsia" w:hAnsiTheme="minorEastAsia"/>
          <w:bCs/>
          <w:sz w:val="28"/>
          <w:szCs w:val="28"/>
        </w:rPr>
        <w:tab/>
      </w:r>
      <w:r>
        <w:rPr>
          <w:rFonts w:hint="eastAsia" w:ascii="宋体" w:hAnsi="宋体" w:eastAsia="宋体" w:cs="宋体"/>
          <w:bCs/>
          <w:sz w:val="28"/>
          <w:szCs w:val="28"/>
        </w:rPr>
        <w:t xml:space="preserve"> 愿景：</w:t>
      </w:r>
      <w:r>
        <w:rPr>
          <w:rFonts w:hint="eastAsia" w:ascii="宋体" w:hAnsi="宋体" w:eastAsia="宋体" w:cs="宋体"/>
          <w:color w:val="000000" w:themeColor="text1"/>
          <w:sz w:val="28"/>
          <w:szCs w:val="28"/>
          <w:lang w:eastAsia="zh-CN"/>
          <w14:textFill>
            <w14:solidFill>
              <w14:schemeClr w14:val="tx1"/>
            </w14:solidFill>
          </w14:textFill>
        </w:rPr>
        <w:t>成为信息传输系统解决方案服务商</w:t>
      </w:r>
      <w:r>
        <w:rPr>
          <w:rFonts w:hint="eastAsia" w:ascii="宋体" w:hAnsi="宋体" w:eastAsia="宋体" w:cs="宋体"/>
          <w:color w:val="000000" w:themeColor="text1"/>
          <w:sz w:val="28"/>
          <w:szCs w:val="28"/>
          <w14:textFill>
            <w14:solidFill>
              <w14:schemeClr w14:val="tx1"/>
            </w14:solidFill>
          </w14:textFill>
        </w:rPr>
        <w:t>。</w:t>
      </w:r>
    </w:p>
    <w:p>
      <w:pPr>
        <w:spacing w:before="156" w:beforeLines="50" w:after="156" w:afterLines="50" w:line="360" w:lineRule="auto"/>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rPr>
        <w:tab/>
      </w:r>
      <w:r>
        <w:rPr>
          <w:rFonts w:hint="eastAsia" w:ascii="宋体" w:hAnsi="宋体" w:eastAsia="宋体" w:cs="宋体"/>
          <w:bCs/>
          <w:sz w:val="28"/>
          <w:szCs w:val="28"/>
        </w:rPr>
        <w:t xml:space="preserve"> 使命：</w:t>
      </w:r>
      <w:bookmarkStart w:id="0" w:name="_Hlk43889214"/>
      <w:r>
        <w:rPr>
          <w:rFonts w:hint="eastAsia" w:ascii="宋体" w:hAnsi="宋体" w:eastAsia="宋体" w:cs="宋体"/>
          <w:sz w:val="28"/>
          <w:szCs w:val="28"/>
        </w:rPr>
        <w:t>为顾客创造价值、为员工创造机会、为社会创造效益</w:t>
      </w:r>
      <w:bookmarkEnd w:id="0"/>
      <w:r>
        <w:rPr>
          <w:rFonts w:hint="eastAsia" w:ascii="宋体" w:hAnsi="宋体" w:eastAsia="宋体" w:cs="宋体"/>
          <w:bCs/>
          <w:sz w:val="28"/>
          <w:szCs w:val="28"/>
        </w:rPr>
        <w:t>。</w:t>
      </w:r>
    </w:p>
    <w:p>
      <w:pPr>
        <w:spacing w:before="156" w:beforeLines="50" w:after="156" w:afterLines="50" w:line="360" w:lineRule="auto"/>
        <w:ind w:firstLine="560" w:firstLineChars="200"/>
        <w:rPr>
          <w:rFonts w:asciiTheme="minorEastAsia" w:hAnsiTheme="minorEastAsia"/>
          <w:bCs/>
          <w:sz w:val="28"/>
          <w:szCs w:val="28"/>
        </w:rPr>
      </w:pPr>
      <w:r>
        <w:rPr>
          <w:rFonts w:hint="eastAsia" w:ascii="宋体" w:hAnsi="宋体" w:eastAsia="宋体" w:cs="宋体"/>
          <w:bCs/>
          <w:sz w:val="28"/>
          <w:szCs w:val="28"/>
        </w:rPr>
        <w:t>价值观：</w:t>
      </w:r>
      <w:r>
        <w:rPr>
          <w:rFonts w:hint="eastAsia" w:ascii="宋体" w:hAnsi="宋体" w:eastAsia="宋体" w:cs="宋体"/>
          <w:sz w:val="28"/>
          <w:szCs w:val="28"/>
          <w:lang w:eastAsia="zh-CN"/>
        </w:rPr>
        <w:t>感恩、诚信、专注、创新</w:t>
      </w:r>
      <w:r>
        <w:rPr>
          <w:rFonts w:hint="eastAsia" w:ascii="宋体" w:hAnsi="宋体" w:eastAsia="宋体" w:cs="宋体"/>
          <w:bCs/>
          <w:sz w:val="28"/>
          <w:szCs w:val="28"/>
        </w:rPr>
        <w:t>。</w:t>
      </w:r>
      <w:r>
        <w:rPr>
          <w:rFonts w:hint="eastAsia" w:asciiTheme="minorEastAsia" w:hAnsiTheme="minorEastAsia"/>
          <w:bCs/>
          <w:sz w:val="28"/>
          <w:szCs w:val="28"/>
        </w:rPr>
        <w:t xml:space="preserve">                                                                                                                                                                                </w:t>
      </w:r>
    </w:p>
    <w:p>
      <w:pPr>
        <w:spacing w:before="156" w:beforeLines="50" w:after="156" w:afterLines="50" w:line="360" w:lineRule="auto"/>
        <w:ind w:firstLine="560" w:firstLineChars="200"/>
        <w:rPr>
          <w:rFonts w:asciiTheme="minorEastAsia" w:hAnsiTheme="minorEastAsia"/>
          <w:b/>
          <w:sz w:val="28"/>
          <w:szCs w:val="28"/>
        </w:rPr>
      </w:pPr>
      <w:r>
        <w:rPr>
          <w:rFonts w:hint="eastAsia" w:asciiTheme="minorEastAsia" w:hAnsiTheme="minorEastAsia"/>
          <w:bCs/>
          <w:sz w:val="28"/>
          <w:szCs w:val="28"/>
        </w:rPr>
        <w:t>高层领导以公司文化指引发展方向，规范行为准则，率先践行公司文化，引领全体员工，坚持与时俱进，取得了优异的绩效。近年来，公司主营收入持续增长。</w:t>
      </w:r>
    </w:p>
    <w:p>
      <w:pPr>
        <w:ind w:firstLine="560" w:firstLineChars="200"/>
        <w:rPr>
          <w:rFonts w:asciiTheme="minorEastAsia" w:hAnsiTheme="minorEastAsia"/>
          <w:b/>
          <w:sz w:val="28"/>
          <w:szCs w:val="28"/>
        </w:rPr>
      </w:pPr>
      <w:r>
        <w:rPr>
          <w:rFonts w:hint="eastAsia" w:asciiTheme="minorEastAsia" w:hAnsiTheme="minorEastAsia"/>
          <w:bCs/>
          <w:sz w:val="28"/>
          <w:szCs w:val="28"/>
        </w:rPr>
        <w:t>为了加强质量、环境及职业健康安全管理，承担社会责任，公司先后导入了以ISO9001：2</w:t>
      </w:r>
      <w:r>
        <w:rPr>
          <w:rFonts w:asciiTheme="minorEastAsia" w:hAnsiTheme="minorEastAsia"/>
          <w:bCs/>
          <w:sz w:val="28"/>
          <w:szCs w:val="28"/>
        </w:rPr>
        <w:t>015</w:t>
      </w:r>
      <w:r>
        <w:rPr>
          <w:rFonts w:hint="eastAsia" w:asciiTheme="minorEastAsia" w:hAnsiTheme="minorEastAsia"/>
          <w:bCs/>
          <w:sz w:val="28"/>
          <w:szCs w:val="28"/>
        </w:rPr>
        <w:t>为标准的质量管理体系、以ISO14001：2</w:t>
      </w:r>
      <w:r>
        <w:rPr>
          <w:rFonts w:asciiTheme="minorEastAsia" w:hAnsiTheme="minorEastAsia"/>
          <w:bCs/>
          <w:sz w:val="28"/>
          <w:szCs w:val="28"/>
        </w:rPr>
        <w:t>015</w:t>
      </w:r>
      <w:r>
        <w:rPr>
          <w:rFonts w:hint="eastAsia" w:asciiTheme="minorEastAsia" w:hAnsiTheme="minorEastAsia"/>
          <w:bCs/>
          <w:sz w:val="28"/>
          <w:szCs w:val="28"/>
        </w:rPr>
        <w:t>为标准的环境管理体系和以</w:t>
      </w:r>
      <w:r>
        <w:rPr>
          <w:rFonts w:asciiTheme="minorEastAsia" w:hAnsiTheme="minorEastAsia"/>
          <w:bCs/>
          <w:sz w:val="28"/>
          <w:szCs w:val="28"/>
        </w:rPr>
        <w:t>ISO45001:2018</w:t>
      </w:r>
      <w:r>
        <w:rPr>
          <w:rFonts w:hint="eastAsia" w:asciiTheme="minorEastAsia" w:hAnsiTheme="minorEastAsia"/>
          <w:bCs/>
          <w:sz w:val="28"/>
          <w:szCs w:val="28"/>
        </w:rPr>
        <w:t>）为标准的职业健康安全管理体系，对质量、环境、职业健康安全、社会责任等建立、实施了系统化的管理，并分别通过了第三方认证，公司电缆通过R</w:t>
      </w:r>
      <w:r>
        <w:rPr>
          <w:rFonts w:asciiTheme="minorEastAsia" w:hAnsiTheme="minorEastAsia"/>
          <w:bCs/>
          <w:sz w:val="28"/>
          <w:szCs w:val="28"/>
        </w:rPr>
        <w:t>OHS</w:t>
      </w:r>
      <w:r>
        <w:rPr>
          <w:rFonts w:hint="eastAsia" w:asciiTheme="minorEastAsia" w:hAnsiTheme="minorEastAsia"/>
          <w:bCs/>
          <w:sz w:val="28"/>
          <w:szCs w:val="28"/>
        </w:rPr>
        <w:t>环保认证以及欧洲C</w:t>
      </w:r>
      <w:r>
        <w:rPr>
          <w:rFonts w:asciiTheme="minorEastAsia" w:hAnsiTheme="minorEastAsia"/>
          <w:bCs/>
          <w:sz w:val="28"/>
          <w:szCs w:val="28"/>
        </w:rPr>
        <w:t>PR</w:t>
      </w:r>
      <w:r>
        <w:rPr>
          <w:rFonts w:hint="eastAsia" w:asciiTheme="minorEastAsia" w:hAnsiTheme="minorEastAsia"/>
          <w:bCs/>
          <w:sz w:val="28"/>
          <w:szCs w:val="28"/>
        </w:rPr>
        <w:t>防火认证，保证使用的安全要求。</w:t>
      </w:r>
    </w:p>
    <w:p>
      <w:pPr>
        <w:jc w:val="center"/>
        <w:rPr>
          <w:rFonts w:asciiTheme="minorEastAsia" w:hAnsiTheme="minorEastAsia"/>
          <w:b/>
          <w:sz w:val="28"/>
          <w:szCs w:val="28"/>
        </w:rPr>
      </w:pPr>
    </w:p>
    <w:p>
      <w:pPr>
        <w:ind w:firstLine="570"/>
        <w:rPr>
          <w:rFonts w:asciiTheme="minorEastAsia" w:hAnsiTheme="minorEastAsia"/>
          <w:bCs/>
          <w:sz w:val="28"/>
          <w:szCs w:val="28"/>
        </w:rPr>
      </w:pPr>
    </w:p>
    <w:p>
      <w:pPr>
        <w:rPr>
          <w:rFonts w:ascii="黑体" w:hAnsi="黑体" w:eastAsia="黑体"/>
          <w:b/>
          <w:sz w:val="28"/>
          <w:szCs w:val="28"/>
        </w:rPr>
      </w:pPr>
      <w:r>
        <w:rPr>
          <w:rFonts w:hint="eastAsia" w:ascii="黑体" w:hAnsi="黑体" w:eastAsia="黑体"/>
          <w:b/>
          <w:sz w:val="28"/>
          <w:szCs w:val="28"/>
        </w:rPr>
        <w:t>三、公司战略</w:t>
      </w:r>
    </w:p>
    <w:p>
      <w:pPr>
        <w:spacing w:before="156" w:beforeLines="50" w:after="156" w:afterLines="50" w:line="360" w:lineRule="auto"/>
        <w:ind w:firstLine="570"/>
        <w:rPr>
          <w:rFonts w:asciiTheme="minorEastAsia" w:hAnsiTheme="minorEastAsia" w:cstheme="minorEastAsia"/>
          <w:bCs/>
          <w:sz w:val="28"/>
          <w:szCs w:val="28"/>
        </w:rPr>
      </w:pPr>
      <w:r>
        <w:rPr>
          <w:rFonts w:hint="eastAsia" w:asciiTheme="minorEastAsia" w:hAnsiTheme="minorEastAsia" w:cstheme="minorEastAsia"/>
          <w:bCs/>
          <w:sz w:val="28"/>
          <w:szCs w:val="28"/>
        </w:rPr>
        <w:t>公司成立了总经理担任组长的战略管理小组，建立了战略管理过程，实施了战略管理，将战略作为实现公司愿景的途径。</w:t>
      </w:r>
    </w:p>
    <w:p>
      <w:pPr>
        <w:spacing w:before="156" w:beforeLines="50" w:after="156" w:afterLines="50" w:line="360" w:lineRule="auto"/>
        <w:ind w:firstLine="570"/>
        <w:rPr>
          <w:rFonts w:asciiTheme="minorEastAsia" w:hAnsiTheme="minorEastAsia" w:cstheme="minorEastAsia"/>
          <w:bCs/>
          <w:sz w:val="28"/>
          <w:szCs w:val="28"/>
        </w:rPr>
      </w:pPr>
      <w:r>
        <w:rPr>
          <w:rFonts w:hint="eastAsia" w:asciiTheme="minorEastAsia" w:hAnsiTheme="minorEastAsia" w:cstheme="minorEastAsia"/>
          <w:bCs/>
          <w:sz w:val="28"/>
          <w:szCs w:val="28"/>
        </w:rPr>
        <w:t>公司收集了内外部环境信息，通过对信息的评估、分析和审核、审批，形成了战略方向。</w:t>
      </w:r>
    </w:p>
    <w:p>
      <w:pPr>
        <w:spacing w:before="156" w:beforeLines="50" w:after="156" w:afterLines="50" w:line="360" w:lineRule="auto"/>
        <w:ind w:firstLine="570"/>
        <w:rPr>
          <w:rFonts w:asciiTheme="minorEastAsia" w:hAnsiTheme="minorEastAsia" w:cstheme="minorEastAsia"/>
          <w:bCs/>
          <w:sz w:val="28"/>
          <w:szCs w:val="28"/>
        </w:rPr>
      </w:pPr>
      <w:r>
        <w:rPr>
          <w:rFonts w:hint="eastAsia" w:asciiTheme="minorEastAsia" w:hAnsiTheme="minorEastAsia" w:cstheme="minorEastAsia"/>
          <w:bCs/>
          <w:sz w:val="28"/>
          <w:szCs w:val="28"/>
        </w:rPr>
        <w:t>公司的近期战略方向为 “技术核心化，业务系统化，产品结构化，服务专业化，管理精细化，运作资本化”。</w:t>
      </w:r>
    </w:p>
    <w:p>
      <w:pPr>
        <w:spacing w:before="156" w:beforeLines="50" w:after="156" w:afterLines="50" w:line="360" w:lineRule="auto"/>
        <w:ind w:firstLine="570"/>
        <w:rPr>
          <w:rFonts w:asciiTheme="minorEastAsia" w:hAnsiTheme="minorEastAsia" w:cstheme="minorEastAsia"/>
          <w:bCs/>
          <w:sz w:val="28"/>
          <w:szCs w:val="28"/>
        </w:rPr>
      </w:pPr>
      <w:r>
        <w:rPr>
          <w:rFonts w:hint="eastAsia" w:asciiTheme="minorEastAsia" w:hAnsiTheme="minorEastAsia" w:cstheme="minorEastAsia"/>
          <w:bCs/>
          <w:sz w:val="28"/>
          <w:szCs w:val="28"/>
        </w:rPr>
        <w:t>针对战略方向公司建立了长短期战略目标和相关的战略实施计划。长短期战略目标如下：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6"/>
        <w:gridCol w:w="1845"/>
        <w:gridCol w:w="4240"/>
        <w:gridCol w:w="1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tblHeader/>
          <w:jc w:val="center"/>
        </w:trPr>
        <w:tc>
          <w:tcPr>
            <w:tcW w:w="1206" w:type="dxa"/>
            <w:tcBorders>
              <w:top w:val="single" w:color="auto" w:sz="12" w:space="0"/>
              <w:bottom w:val="single" w:color="auto" w:sz="6" w:space="0"/>
            </w:tcBorders>
            <w:shd w:val="clear" w:color="auto" w:fill="4F81BD" w:themeFill="accent1"/>
            <w:vAlign w:val="center"/>
          </w:tcPr>
          <w:p>
            <w:pPr>
              <w:jc w:val="center"/>
              <w:rPr>
                <w:rFonts w:ascii="宋体" w:hAnsi="宋体"/>
                <w:b/>
                <w:sz w:val="24"/>
              </w:rPr>
            </w:pPr>
            <w:r>
              <w:rPr>
                <w:rFonts w:hint="eastAsia" w:ascii="宋体" w:hAnsi="宋体"/>
                <w:b/>
                <w:sz w:val="24"/>
              </w:rPr>
              <w:t>目标类型</w:t>
            </w:r>
          </w:p>
        </w:tc>
        <w:tc>
          <w:tcPr>
            <w:tcW w:w="1845" w:type="dxa"/>
            <w:tcBorders>
              <w:top w:val="single" w:color="auto" w:sz="12" w:space="0"/>
              <w:bottom w:val="single" w:color="auto" w:sz="6" w:space="0"/>
            </w:tcBorders>
            <w:shd w:val="clear" w:color="auto" w:fill="4F81BD" w:themeFill="accent1"/>
            <w:vAlign w:val="center"/>
          </w:tcPr>
          <w:p>
            <w:pPr>
              <w:jc w:val="center"/>
              <w:rPr>
                <w:rFonts w:ascii="宋体" w:hAnsi="宋体"/>
                <w:b/>
                <w:sz w:val="24"/>
              </w:rPr>
            </w:pPr>
            <w:r>
              <w:rPr>
                <w:rFonts w:hint="eastAsia" w:ascii="宋体" w:hAnsi="宋体"/>
                <w:b/>
                <w:sz w:val="24"/>
              </w:rPr>
              <w:t>战略目标内容</w:t>
            </w:r>
          </w:p>
        </w:tc>
        <w:tc>
          <w:tcPr>
            <w:tcW w:w="4240" w:type="dxa"/>
            <w:tcBorders>
              <w:top w:val="single" w:color="auto" w:sz="12" w:space="0"/>
              <w:bottom w:val="single" w:color="auto" w:sz="6" w:space="0"/>
            </w:tcBorders>
            <w:shd w:val="clear" w:color="auto" w:fill="4F81BD" w:themeFill="accent1"/>
            <w:vAlign w:val="center"/>
          </w:tcPr>
          <w:p>
            <w:pPr>
              <w:jc w:val="center"/>
              <w:rPr>
                <w:rFonts w:ascii="宋体" w:hAnsi="宋体"/>
                <w:b/>
                <w:sz w:val="24"/>
              </w:rPr>
            </w:pPr>
            <w:r>
              <w:rPr>
                <w:rFonts w:hint="eastAsia" w:ascii="宋体" w:hAnsi="宋体"/>
                <w:b/>
                <w:sz w:val="24"/>
              </w:rPr>
              <w:t>机遇和挑战</w:t>
            </w:r>
          </w:p>
        </w:tc>
        <w:tc>
          <w:tcPr>
            <w:tcW w:w="1159" w:type="dxa"/>
            <w:tcBorders>
              <w:top w:val="single" w:color="auto" w:sz="12" w:space="0"/>
              <w:bottom w:val="single" w:color="auto" w:sz="6" w:space="0"/>
            </w:tcBorders>
            <w:shd w:val="clear" w:color="auto" w:fill="4F81BD" w:themeFill="accent1"/>
            <w:vAlign w:val="center"/>
          </w:tcPr>
          <w:p>
            <w:pPr>
              <w:jc w:val="center"/>
              <w:rPr>
                <w:rFonts w:ascii="宋体" w:hAnsi="宋体"/>
                <w:b/>
                <w:sz w:val="24"/>
              </w:rPr>
            </w:pPr>
            <w:r>
              <w:rPr>
                <w:rFonts w:hint="eastAsia" w:ascii="宋体" w:hAnsi="宋体"/>
                <w:b/>
                <w:sz w:val="24"/>
              </w:rPr>
              <w:t>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exact"/>
          <w:jc w:val="center"/>
        </w:trPr>
        <w:tc>
          <w:tcPr>
            <w:tcW w:w="1206" w:type="dxa"/>
            <w:vMerge w:val="restart"/>
            <w:tcBorders>
              <w:top w:val="single" w:color="auto" w:sz="6" w:space="0"/>
            </w:tcBorders>
            <w:vAlign w:val="center"/>
          </w:tcPr>
          <w:p>
            <w:pPr>
              <w:jc w:val="center"/>
              <w:rPr>
                <w:rFonts w:ascii="宋体" w:hAnsi="宋体"/>
                <w:szCs w:val="21"/>
              </w:rPr>
            </w:pPr>
            <w:r>
              <w:rPr>
                <w:rFonts w:hint="eastAsia" w:ascii="宋体" w:hAnsi="宋体"/>
                <w:szCs w:val="21"/>
              </w:rPr>
              <w:t>短 期</w:t>
            </w:r>
          </w:p>
        </w:tc>
        <w:tc>
          <w:tcPr>
            <w:tcW w:w="1845" w:type="dxa"/>
            <w:vMerge w:val="restart"/>
            <w:tcBorders>
              <w:top w:val="single" w:color="auto" w:sz="6"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年销售额</w:t>
            </w:r>
            <w:r>
              <w:rPr>
                <w:rFonts w:hint="eastAsia" w:ascii="宋体" w:hAnsi="宋体"/>
                <w:color w:val="000000" w:themeColor="text1"/>
                <w:sz w:val="24"/>
                <w:lang w:val="en-US" w:eastAsia="zh-CN"/>
                <w14:textFill>
                  <w14:solidFill>
                    <w14:schemeClr w14:val="tx1"/>
                  </w14:solidFill>
                </w14:textFill>
              </w:rPr>
              <w:t>3千万</w:t>
            </w:r>
            <w:r>
              <w:rPr>
                <w:rFonts w:hint="eastAsia" w:ascii="宋体" w:hAnsi="宋体"/>
                <w:color w:val="000000" w:themeColor="text1"/>
                <w:sz w:val="24"/>
                <w14:textFill>
                  <w14:solidFill>
                    <w14:schemeClr w14:val="tx1"/>
                  </w14:solidFill>
                </w14:textFill>
              </w:rPr>
              <w:t>元</w:t>
            </w:r>
          </w:p>
        </w:tc>
        <w:tc>
          <w:tcPr>
            <w:tcW w:w="4240" w:type="dxa"/>
            <w:tcBorders>
              <w:top w:val="single" w:color="auto" w:sz="6" w:space="0"/>
            </w:tcBorders>
            <w:vAlign w:val="center"/>
          </w:tcPr>
          <w:p>
            <w:pPr>
              <w:rPr>
                <w:rFonts w:ascii="宋体" w:hAnsi="宋体"/>
                <w:szCs w:val="21"/>
              </w:rPr>
            </w:pPr>
            <w:r>
              <w:rPr>
                <w:rFonts w:hint="eastAsia" w:ascii="宋体" w:hAnsi="宋体"/>
                <w:szCs w:val="21"/>
              </w:rPr>
              <w:t>新冠疫情到时全球外部经济环境剧烈下滑。</w:t>
            </w:r>
          </w:p>
        </w:tc>
        <w:tc>
          <w:tcPr>
            <w:tcW w:w="1159" w:type="dxa"/>
            <w:tcBorders>
              <w:top w:val="single" w:color="auto" w:sz="6" w:space="0"/>
            </w:tcBorders>
            <w:vAlign w:val="center"/>
          </w:tcPr>
          <w:p>
            <w:pPr>
              <w:jc w:val="center"/>
              <w:rPr>
                <w:rFonts w:ascii="宋体" w:hAnsi="宋体"/>
                <w:szCs w:val="21"/>
              </w:rPr>
            </w:pPr>
            <w:r>
              <w:rPr>
                <w:rFonts w:hint="eastAsia" w:ascii="宋体" w:hAnsi="宋体"/>
                <w:szCs w:val="21"/>
              </w:rPr>
              <w:t>威胁和机会并存</w:t>
            </w:r>
          </w:p>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exact"/>
          <w:jc w:val="center"/>
        </w:trPr>
        <w:tc>
          <w:tcPr>
            <w:tcW w:w="1206" w:type="dxa"/>
            <w:vMerge w:val="continue"/>
            <w:tcBorders>
              <w:top w:val="single" w:color="auto" w:sz="6" w:space="0"/>
            </w:tcBorders>
            <w:vAlign w:val="center"/>
          </w:tcPr>
          <w:p>
            <w:pPr>
              <w:jc w:val="center"/>
              <w:rPr>
                <w:rFonts w:hint="eastAsia" w:ascii="宋体" w:hAnsi="宋体"/>
                <w:szCs w:val="21"/>
              </w:rPr>
            </w:pPr>
          </w:p>
        </w:tc>
        <w:tc>
          <w:tcPr>
            <w:tcW w:w="1845" w:type="dxa"/>
            <w:vMerge w:val="continue"/>
            <w:tcBorders>
              <w:top w:val="single" w:color="auto" w:sz="6" w:space="0"/>
            </w:tcBorders>
            <w:vAlign w:val="center"/>
          </w:tcPr>
          <w:p>
            <w:pPr>
              <w:rPr>
                <w:rFonts w:hint="eastAsia" w:ascii="宋体" w:hAnsi="宋体"/>
                <w:color w:val="000000" w:themeColor="text1"/>
                <w:sz w:val="24"/>
                <w14:textFill>
                  <w14:solidFill>
                    <w14:schemeClr w14:val="tx1"/>
                  </w14:solidFill>
                </w14:textFill>
              </w:rPr>
            </w:pPr>
          </w:p>
        </w:tc>
        <w:tc>
          <w:tcPr>
            <w:tcW w:w="4240" w:type="dxa"/>
            <w:tcBorders>
              <w:top w:val="single" w:color="auto" w:sz="6" w:space="0"/>
            </w:tcBorders>
            <w:vAlign w:val="center"/>
          </w:tcPr>
          <w:p>
            <w:pPr>
              <w:rPr>
                <w:rFonts w:hint="eastAsia" w:ascii="宋体" w:hAnsi="宋体"/>
                <w:szCs w:val="21"/>
              </w:rPr>
            </w:pPr>
            <w:r>
              <w:rPr>
                <w:rFonts w:hint="eastAsia" w:ascii="宋体" w:hAnsi="宋体"/>
                <w:szCs w:val="21"/>
              </w:rPr>
              <w:t>原材料价格波动幅度大。</w:t>
            </w:r>
          </w:p>
        </w:tc>
        <w:tc>
          <w:tcPr>
            <w:tcW w:w="1159" w:type="dxa"/>
            <w:tcBorders>
              <w:top w:val="single" w:color="auto" w:sz="6" w:space="0"/>
            </w:tcBorders>
            <w:vAlign w:val="center"/>
          </w:tcPr>
          <w:p>
            <w:pPr>
              <w:jc w:val="center"/>
              <w:rPr>
                <w:rFonts w:ascii="宋体" w:hAnsi="宋体"/>
                <w:szCs w:val="21"/>
              </w:rPr>
            </w:pPr>
            <w:r>
              <w:rPr>
                <w:rFonts w:hint="eastAsia" w:ascii="宋体" w:hAnsi="宋体"/>
                <w:szCs w:val="21"/>
              </w:rPr>
              <w:t>威胁</w:t>
            </w:r>
          </w:p>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exact"/>
          <w:jc w:val="center"/>
        </w:trPr>
        <w:tc>
          <w:tcPr>
            <w:tcW w:w="1206" w:type="dxa"/>
            <w:vMerge w:val="continue"/>
            <w:vAlign w:val="center"/>
          </w:tcPr>
          <w:p>
            <w:pPr>
              <w:jc w:val="center"/>
              <w:rPr>
                <w:rFonts w:ascii="宋体" w:hAnsi="宋体"/>
                <w:szCs w:val="21"/>
              </w:rPr>
            </w:pPr>
          </w:p>
        </w:tc>
        <w:tc>
          <w:tcPr>
            <w:tcW w:w="1845" w:type="dxa"/>
            <w:vMerge w:val="continue"/>
            <w:vAlign w:val="center"/>
          </w:tcPr>
          <w:p>
            <w:pPr>
              <w:rPr>
                <w:rFonts w:ascii="宋体" w:hAnsi="宋体"/>
                <w:color w:val="000000" w:themeColor="text1"/>
                <w:szCs w:val="21"/>
                <w14:textFill>
                  <w14:solidFill>
                    <w14:schemeClr w14:val="tx1"/>
                  </w14:solidFill>
                </w14:textFill>
              </w:rPr>
            </w:pPr>
          </w:p>
        </w:tc>
        <w:tc>
          <w:tcPr>
            <w:tcW w:w="4240" w:type="dxa"/>
            <w:vAlign w:val="center"/>
          </w:tcPr>
          <w:p>
            <w:pPr>
              <w:rPr>
                <w:rFonts w:ascii="宋体" w:hAnsi="宋体"/>
                <w:szCs w:val="21"/>
              </w:rPr>
            </w:pPr>
            <w:r>
              <w:rPr>
                <w:rFonts w:hint="eastAsia" w:ascii="宋体" w:hAnsi="宋体"/>
                <w:szCs w:val="21"/>
              </w:rPr>
              <w:t>人力资源成本不断增加。</w:t>
            </w:r>
          </w:p>
        </w:tc>
        <w:tc>
          <w:tcPr>
            <w:tcW w:w="1159" w:type="dxa"/>
            <w:vAlign w:val="center"/>
          </w:tcPr>
          <w:p>
            <w:pPr>
              <w:jc w:val="center"/>
              <w:rPr>
                <w:rFonts w:ascii="宋体" w:hAnsi="宋体"/>
                <w:szCs w:val="21"/>
              </w:rPr>
            </w:pPr>
            <w:r>
              <w:rPr>
                <w:rFonts w:hint="eastAsia" w:ascii="宋体" w:hAnsi="宋体"/>
                <w:szCs w:val="21"/>
              </w:rPr>
              <w:t>威胁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exact"/>
          <w:jc w:val="center"/>
        </w:trPr>
        <w:tc>
          <w:tcPr>
            <w:tcW w:w="1206" w:type="dxa"/>
            <w:vMerge w:val="restart"/>
            <w:vAlign w:val="center"/>
          </w:tcPr>
          <w:p>
            <w:pPr>
              <w:jc w:val="center"/>
              <w:rPr>
                <w:rFonts w:ascii="宋体" w:hAnsi="宋体"/>
                <w:szCs w:val="21"/>
              </w:rPr>
            </w:pPr>
            <w:r>
              <w:rPr>
                <w:rFonts w:hint="eastAsia" w:ascii="宋体" w:hAnsi="宋体"/>
                <w:szCs w:val="21"/>
              </w:rPr>
              <w:t>长 期</w:t>
            </w:r>
          </w:p>
        </w:tc>
        <w:tc>
          <w:tcPr>
            <w:tcW w:w="1845" w:type="dxa"/>
            <w:vMerge w:val="restar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 w:val="24"/>
                <w14:textFill>
                  <w14:solidFill>
                    <w14:schemeClr w14:val="tx1"/>
                  </w14:solidFill>
                </w14:textFill>
              </w:rPr>
              <w:t>销售额</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亿元</w:t>
            </w:r>
          </w:p>
        </w:tc>
        <w:tc>
          <w:tcPr>
            <w:tcW w:w="4240" w:type="dxa"/>
            <w:vAlign w:val="center"/>
          </w:tcPr>
          <w:p>
            <w:pPr>
              <w:rPr>
                <w:rFonts w:ascii="宋体" w:hAnsi="宋体"/>
                <w:szCs w:val="21"/>
              </w:rPr>
            </w:pPr>
            <w:r>
              <w:rPr>
                <w:rFonts w:hint="eastAsia" w:ascii="宋体" w:hAnsi="宋体"/>
                <w:szCs w:val="21"/>
              </w:rPr>
              <w:t>产品种类的增加，销售市场进一步扩展，可投资扩大产能。</w:t>
            </w:r>
          </w:p>
        </w:tc>
        <w:tc>
          <w:tcPr>
            <w:tcW w:w="1159" w:type="dxa"/>
            <w:vAlign w:val="center"/>
          </w:tcPr>
          <w:p>
            <w:pPr>
              <w:jc w:val="center"/>
              <w:rPr>
                <w:rFonts w:ascii="宋体" w:hAnsi="宋体"/>
                <w:szCs w:val="21"/>
              </w:rPr>
            </w:pPr>
            <w:r>
              <w:rPr>
                <w:rFonts w:hint="eastAsia" w:ascii="宋体" w:hAnsi="宋体"/>
                <w:szCs w:val="21"/>
              </w:rPr>
              <w:t>机会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exact"/>
          <w:jc w:val="center"/>
        </w:trPr>
        <w:tc>
          <w:tcPr>
            <w:tcW w:w="1206" w:type="dxa"/>
            <w:vMerge w:val="continue"/>
            <w:vAlign w:val="center"/>
          </w:tcPr>
          <w:p>
            <w:pPr>
              <w:jc w:val="center"/>
              <w:rPr>
                <w:rFonts w:hint="eastAsia" w:ascii="宋体" w:hAnsi="宋体"/>
                <w:szCs w:val="21"/>
              </w:rPr>
            </w:pPr>
          </w:p>
        </w:tc>
        <w:tc>
          <w:tcPr>
            <w:tcW w:w="1845" w:type="dxa"/>
            <w:vMerge w:val="continue"/>
            <w:vAlign w:val="center"/>
          </w:tcPr>
          <w:p>
            <w:pPr>
              <w:rPr>
                <w:rFonts w:hint="eastAsia" w:ascii="宋体" w:hAnsi="宋体"/>
                <w:color w:val="000000" w:themeColor="text1"/>
                <w:szCs w:val="21"/>
                <w14:textFill>
                  <w14:solidFill>
                    <w14:schemeClr w14:val="tx1"/>
                  </w14:solidFill>
                </w14:textFill>
              </w:rPr>
            </w:pPr>
          </w:p>
        </w:tc>
        <w:tc>
          <w:tcPr>
            <w:tcW w:w="4240" w:type="dxa"/>
            <w:vAlign w:val="center"/>
          </w:tcPr>
          <w:p>
            <w:pPr>
              <w:rPr>
                <w:rFonts w:hint="eastAsia" w:ascii="宋体" w:hAnsi="宋体"/>
                <w:szCs w:val="21"/>
              </w:rPr>
            </w:pPr>
            <w:r>
              <w:rPr>
                <w:rFonts w:hint="eastAsia" w:ascii="宋体" w:hAnsi="宋体"/>
                <w:szCs w:val="21"/>
              </w:rPr>
              <w:t>因新冠疫情影响，全球产业洗牌，优质企业在激烈的竞争中更具竞争优势。</w:t>
            </w:r>
          </w:p>
        </w:tc>
        <w:tc>
          <w:tcPr>
            <w:tcW w:w="1159" w:type="dxa"/>
            <w:vAlign w:val="center"/>
          </w:tcPr>
          <w:p>
            <w:pPr>
              <w:jc w:val="center"/>
              <w:rPr>
                <w:rFonts w:hint="eastAsia" w:ascii="宋体" w:hAnsi="宋体"/>
                <w:szCs w:val="21"/>
              </w:rPr>
            </w:pPr>
            <w:r>
              <w:rPr>
                <w:rFonts w:hint="eastAsia" w:ascii="宋体" w:hAnsi="宋体"/>
                <w:szCs w:val="21"/>
              </w:rPr>
              <w:t>机会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4" w:hRule="exact"/>
          <w:jc w:val="center"/>
        </w:trPr>
        <w:tc>
          <w:tcPr>
            <w:tcW w:w="1206" w:type="dxa"/>
            <w:vMerge w:val="continue"/>
            <w:vAlign w:val="center"/>
          </w:tcPr>
          <w:p>
            <w:pPr>
              <w:rPr>
                <w:rFonts w:ascii="宋体" w:hAnsi="宋体"/>
                <w:szCs w:val="21"/>
              </w:rPr>
            </w:pPr>
          </w:p>
        </w:tc>
        <w:tc>
          <w:tcPr>
            <w:tcW w:w="1845" w:type="dxa"/>
            <w:vMerge w:val="continue"/>
            <w:vAlign w:val="center"/>
          </w:tcPr>
          <w:p>
            <w:pPr>
              <w:rPr>
                <w:rFonts w:ascii="宋体" w:hAnsi="宋体"/>
                <w:szCs w:val="21"/>
              </w:rPr>
            </w:pPr>
          </w:p>
        </w:tc>
        <w:tc>
          <w:tcPr>
            <w:tcW w:w="4240" w:type="dxa"/>
            <w:vAlign w:val="center"/>
          </w:tcPr>
          <w:p>
            <w:pPr>
              <w:rPr>
                <w:rFonts w:ascii="宋体" w:hAnsi="宋体"/>
                <w:szCs w:val="21"/>
              </w:rPr>
            </w:pPr>
            <w:r>
              <w:rPr>
                <w:rFonts w:hint="eastAsia" w:ascii="宋体" w:hAnsi="宋体"/>
                <w:szCs w:val="21"/>
              </w:rPr>
              <w:t>行业竞争的不断加剧，不确定性因素增多。</w:t>
            </w:r>
          </w:p>
        </w:tc>
        <w:tc>
          <w:tcPr>
            <w:tcW w:w="1159" w:type="dxa"/>
            <w:vAlign w:val="center"/>
          </w:tcPr>
          <w:p>
            <w:pPr>
              <w:jc w:val="center"/>
              <w:rPr>
                <w:rFonts w:ascii="宋体" w:hAnsi="宋体"/>
                <w:szCs w:val="21"/>
              </w:rPr>
            </w:pPr>
            <w:r>
              <w:rPr>
                <w:rFonts w:hint="eastAsia" w:ascii="宋体" w:hAnsi="宋体"/>
                <w:szCs w:val="21"/>
              </w:rPr>
              <w:t>威胁</w:t>
            </w:r>
          </w:p>
        </w:tc>
      </w:tr>
    </w:tbl>
    <w:p>
      <w:pPr>
        <w:spacing w:before="156" w:beforeLines="50" w:after="156" w:afterLines="50" w:line="360" w:lineRule="auto"/>
        <w:ind w:firstLine="560"/>
        <w:rPr>
          <w:rFonts w:asciiTheme="minorEastAsia" w:hAnsiTheme="minorEastAsia" w:cstheme="minorEastAsia"/>
          <w:bCs/>
          <w:color w:val="000000" w:themeColor="text1"/>
          <w:sz w:val="28"/>
          <w:szCs w:val="28"/>
          <w14:textFill>
            <w14:solidFill>
              <w14:schemeClr w14:val="tx1"/>
            </w14:solidFill>
          </w14:textFill>
        </w:rPr>
      </w:pPr>
      <w:r>
        <w:rPr>
          <w:rFonts w:hint="eastAsia" w:asciiTheme="minorEastAsia" w:hAnsiTheme="minorEastAsia" w:cstheme="minorEastAsia"/>
          <w:bCs/>
          <w:color w:val="000000" w:themeColor="text1"/>
          <w:sz w:val="28"/>
          <w:szCs w:val="28"/>
          <w14:textFill>
            <w14:solidFill>
              <w14:schemeClr w14:val="tx1"/>
            </w14:solidFill>
          </w14:textFill>
        </w:rPr>
        <w:t>通过将公司战略分解为各职能部门的职能战略，将公司战略实施计划分解为各职能部门的指南战略实施计划，通过建立各岗位的关键绩效指标，形成了绩效管理系统，确保了战略实现。</w:t>
      </w:r>
    </w:p>
    <w:p>
      <w:pPr>
        <w:spacing w:before="156" w:beforeLines="50" w:after="156" w:afterLines="50" w:line="360" w:lineRule="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公司治理</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cstheme="minorEastAsia"/>
          <w:bCs/>
          <w:sz w:val="28"/>
          <w:szCs w:val="28"/>
        </w:rPr>
        <w:t>公司自成立以来，经过多年的规范和运作，已建立了完善的治理机构。同时公司高层领导着力于持续改善工作，以求得公司的稳步、快速发展。以《公司法》、《公司章程》为基本准则，建立了公司的各层级监管机构。经理层负责公司的日常经营，执行公司的决议。</w:t>
      </w:r>
      <w:r>
        <w:rPr>
          <w:rFonts w:hint="eastAsia" w:asciiTheme="minorEastAsia" w:hAnsiTheme="minorEastAsia"/>
          <w:bCs/>
          <w:sz w:val="28"/>
          <w:szCs w:val="28"/>
        </w:rPr>
        <w:t>确保内外部审计的独立性，达到保护企业和收益者利益的目的。</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为保护受益者利益，公司监管系统由总经理、财务部组成，对公司高级管理人员职权行使、重大投资、财务收资和经济活动等组织行为监督、审计，保证组织活动的合法性、规范性、有效性。</w:t>
      </w:r>
    </w:p>
    <w:p>
      <w:pPr>
        <w:rPr>
          <w:rFonts w:asciiTheme="minorEastAsia" w:hAnsiTheme="minorEastAsia"/>
          <w:b/>
          <w:sz w:val="28"/>
          <w:szCs w:val="28"/>
        </w:rPr>
      </w:pPr>
    </w:p>
    <w:p>
      <w:pPr>
        <w:rPr>
          <w:rFonts w:ascii="黑体" w:hAnsi="黑体" w:eastAsia="黑体"/>
          <w:b/>
          <w:sz w:val="28"/>
          <w:szCs w:val="28"/>
        </w:rPr>
      </w:pPr>
      <w:r>
        <w:rPr>
          <w:rFonts w:hint="eastAsia" w:ascii="黑体" w:hAnsi="黑体" w:eastAsia="黑体"/>
          <w:b/>
          <w:sz w:val="28"/>
          <w:szCs w:val="28"/>
        </w:rPr>
        <w:t>一、组织架构</w:t>
      </w:r>
    </w:p>
    <w:p>
      <w:pPr>
        <w:ind w:firstLine="562" w:firstLineChars="200"/>
        <w:rPr>
          <w:rFonts w:asciiTheme="minorEastAsia" w:hAnsiTheme="minorEastAsia"/>
          <w:b/>
          <w:sz w:val="28"/>
          <w:szCs w:val="28"/>
        </w:rPr>
      </w:pPr>
      <w:r>
        <w:rPr>
          <w:rFonts w:hint="eastAsia" w:asciiTheme="minorEastAsia" w:hAnsiTheme="minorEastAsia"/>
          <w:b/>
          <w:sz w:val="28"/>
          <w:szCs w:val="28"/>
        </w:rPr>
        <w:t>公司根据业务流程，设计和建立了组织架构，目前设立了</w:t>
      </w:r>
      <w:r>
        <w:rPr>
          <w:rFonts w:hint="eastAsia" w:asciiTheme="minorEastAsia" w:hAnsiTheme="minorEastAsia"/>
          <w:b/>
          <w:sz w:val="28"/>
          <w:szCs w:val="28"/>
          <w:lang w:val="en-US" w:eastAsia="zh-CN"/>
        </w:rPr>
        <w:t>7</w:t>
      </w:r>
      <w:r>
        <w:rPr>
          <w:rFonts w:hint="eastAsia" w:asciiTheme="minorEastAsia" w:hAnsiTheme="minorEastAsia"/>
          <w:b/>
          <w:sz w:val="28"/>
          <w:szCs w:val="28"/>
        </w:rPr>
        <w:t>个职能部门，部门除了各负其责外，部门之间还相互协调合作，确保管理责任的落实。</w:t>
      </w:r>
    </w:p>
    <w:p>
      <w:pPr>
        <w:ind w:firstLine="843" w:firstLineChars="300"/>
        <w:rPr>
          <w:rFonts w:asciiTheme="minorEastAsia" w:hAnsiTheme="minorEastAsia"/>
          <w:b/>
          <w:sz w:val="28"/>
          <w:szCs w:val="28"/>
        </w:rPr>
      </w:pPr>
      <w:r>
        <w:rPr>
          <w:rFonts w:hint="eastAsia" w:asciiTheme="minorEastAsia" w:hAnsiTheme="minorEastAsia"/>
          <w:b/>
          <w:sz w:val="28"/>
          <w:szCs w:val="28"/>
        </w:rPr>
        <w:t>具体的组织架构如下图</w:t>
      </w:r>
    </w:p>
    <w:p>
      <w:pPr>
        <w:ind w:left="-363" w:leftChars="-695" w:hanging="1096" w:hangingChars="522"/>
        <w:jc w:val="center"/>
        <w:rPr>
          <w:rFonts w:asciiTheme="minorEastAsia" w:hAnsiTheme="minorEastAsia"/>
          <w:b/>
          <w:sz w:val="28"/>
          <w:szCs w:val="28"/>
        </w:rPr>
      </w:pPr>
      <w:r>
        <w:t xml:space="preserve">              </w:t>
      </w:r>
      <w:r>
        <w:drawing>
          <wp:inline distT="0" distB="0" distL="114300" distR="114300">
            <wp:extent cx="3342640" cy="3693160"/>
            <wp:effectExtent l="0" t="0" r="10160" b="2540"/>
            <wp:docPr id="1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
                    <pic:cNvPicPr>
                      <a:picLocks noChangeAspect="1"/>
                    </pic:cNvPicPr>
                  </pic:nvPicPr>
                  <pic:blipFill>
                    <a:blip r:embed="rId5"/>
                    <a:stretch>
                      <a:fillRect/>
                    </a:stretch>
                  </pic:blipFill>
                  <pic:spPr>
                    <a:xfrm>
                      <a:off x="0" y="0"/>
                      <a:ext cx="3342640" cy="3693160"/>
                    </a:xfrm>
                    <a:prstGeom prst="rect">
                      <a:avLst/>
                    </a:prstGeom>
                    <a:noFill/>
                    <a:ln>
                      <a:noFill/>
                    </a:ln>
                  </pic:spPr>
                </pic:pic>
              </a:graphicData>
            </a:graphic>
          </wp:inline>
        </w:drawing>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r>
        <w:rPr>
          <w:rFonts w:hint="eastAsia" w:ascii="黑体" w:hAnsi="黑体" w:eastAsia="黑体"/>
          <w:b/>
          <w:sz w:val="28"/>
          <w:szCs w:val="28"/>
        </w:rPr>
        <w:t>二、公司管理</w:t>
      </w:r>
    </w:p>
    <w:p>
      <w:pPr>
        <w:spacing w:before="156" w:beforeLines="50" w:after="156" w:afterLines="5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1、决策机制</w:t>
      </w:r>
    </w:p>
    <w:p>
      <w:pPr>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公司依照《公司章程》规定，明确行政人事部中的总经办作为公司经营决策机构。公司明确规定了董事会、管理层等各级权力机构的审批权限，实行岗位责任制，明确了组织行为的管理者责任、财务责任。</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高层领导本着权责对等的原则，努力营造授权氛围，鼓励授权，提高工作效率，并使之制度化。公司依据现代企业管理模式，按照生产运营中的各个环节建立相关的责任部门在《岗位说明书》中，明确了各岗位的权利和责任，公司高层领导以部门职责为依据实行授权管理，公司的经营计划、投资方案、年度预决算、主要规章制度、主要岗位人事任免等重大事项由公司董事会集中民主讨论、决策。各部门及生产单位在部门职责的范围内按照公司体系及制度要求开展各项日常工作，同时公司总经办会依法对公司作出的各项决策及其执行情况、公司财务、公司高层领导职责履行等情况进行审查及监督。</w:t>
      </w:r>
    </w:p>
    <w:p>
      <w:pPr>
        <w:spacing w:before="156" w:beforeLines="50" w:after="156" w:afterLines="50" w:line="360" w:lineRule="auto"/>
        <w:ind w:firstLine="560" w:firstLineChars="200"/>
        <w:rPr>
          <w:rFonts w:asciiTheme="minorEastAsia" w:hAnsiTheme="minorEastAsia"/>
          <w:b/>
          <w:sz w:val="28"/>
          <w:szCs w:val="28"/>
        </w:rPr>
      </w:pPr>
      <w:r>
        <w:rPr>
          <w:rFonts w:hint="eastAsia" w:asciiTheme="minorEastAsia" w:hAnsiTheme="minorEastAsia" w:cstheme="minorEastAsia"/>
          <w:bCs/>
          <w:sz w:val="28"/>
          <w:szCs w:val="28"/>
        </w:rPr>
        <w:t>为保障各项生产经营活动都能得到执行并达到预期目标，我们在完善内部分工的基础上初步引进了绩效考核机制，对各职能部门及生产车间均编制了年度部门目标考核责任制，通过对各生产车间、职能部门月度主要绩效指标完成情况的跟踪和汇总来监督各单位的工作完成情况，并制定奖罚措施，奖优罚劣，鼓励各单位积极创新、勇于承担责任，创建公平、公正、公开的内部协助环境。</w:t>
      </w:r>
    </w:p>
    <w:p>
      <w:pPr>
        <w:rPr>
          <w:rFonts w:ascii="黑体" w:hAnsi="黑体" w:eastAsia="黑体"/>
          <w:b/>
          <w:sz w:val="28"/>
          <w:szCs w:val="28"/>
        </w:rPr>
      </w:pPr>
      <w:r>
        <w:rPr>
          <w:rFonts w:hint="eastAsia" w:ascii="黑体" w:hAnsi="黑体" w:eastAsia="黑体"/>
          <w:b/>
          <w:sz w:val="28"/>
          <w:szCs w:val="28"/>
        </w:rPr>
        <w:t>三、财务责任</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公司明确高层管理和财务管理部门的权利和责任，确保财务部门筹资、投资、预算、成本控制等财务管理职能和落实财务管理职责，根据公司财务系统制定的方针目标，开展各项工作，确保资产保值增值。</w:t>
      </w:r>
    </w:p>
    <w:p>
      <w:pPr>
        <w:spacing w:before="156" w:beforeLines="50" w:after="156" w:afterLines="50" w:line="360" w:lineRule="auto"/>
        <w:ind w:firstLine="560" w:firstLineChars="200"/>
        <w:rPr>
          <w:rFonts w:asciiTheme="minorEastAsia" w:hAnsiTheme="minorEastAsia"/>
          <w:b/>
          <w:sz w:val="28"/>
          <w:szCs w:val="28"/>
        </w:rPr>
      </w:pPr>
      <w:r>
        <w:rPr>
          <w:rFonts w:hint="eastAsia" w:asciiTheme="minorEastAsia" w:hAnsiTheme="minorEastAsia"/>
          <w:bCs/>
          <w:sz w:val="28"/>
          <w:szCs w:val="28"/>
        </w:rPr>
        <w:t>多年来公司严格遵守相关财税法律法规，获得良好的经营业绩，实现资产的保值增值；公司依据《企业会计准则》、《中华人民共和国会计法》 、《财务通则》及其他相关法律法规，逐步建立和完善《财务管理制度》健全公司的财务管理和控制体系，不断建立健全公司的财务管理体系和运作流程，规范财务运作。</w:t>
      </w:r>
    </w:p>
    <w:p>
      <w:pPr>
        <w:rPr>
          <w:rFonts w:ascii="黑体" w:hAnsi="黑体" w:eastAsia="黑体"/>
          <w:b/>
          <w:sz w:val="28"/>
          <w:szCs w:val="28"/>
        </w:rPr>
      </w:pPr>
      <w:r>
        <w:rPr>
          <w:rFonts w:hint="eastAsia" w:ascii="黑体" w:hAnsi="黑体" w:eastAsia="黑体"/>
          <w:b/>
          <w:sz w:val="28"/>
          <w:szCs w:val="28"/>
        </w:rPr>
        <w:t>四、独立审计</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近几年每年都聘请临安钱王会计师事务所为公司提供会计报表审计、净资产验证等相关审计服务。外部审计结果由事务所人员直接向公司总经理汇报，避免违法违规现象的发生，同时公司积极配合市政府相关部门对公司开展的各项审计抽检工作。历年来，在政府部门的审计监督和财税检查中均未发现违规问题，企业形象良好；在外部机构的审计报告中，均出示无保留审计意见。</w:t>
      </w:r>
    </w:p>
    <w:p>
      <w:pPr>
        <w:ind w:firstLine="562" w:firstLineChars="200"/>
        <w:rPr>
          <w:rFonts w:asciiTheme="minorEastAsia" w:hAnsiTheme="minorEastAsia"/>
          <w:b/>
          <w:sz w:val="28"/>
          <w:szCs w:val="28"/>
        </w:rPr>
      </w:pPr>
    </w:p>
    <w:p>
      <w:pPr>
        <w:rPr>
          <w:rFonts w:ascii="黑体" w:hAnsi="黑体" w:eastAsia="黑体"/>
          <w:b/>
          <w:sz w:val="28"/>
          <w:szCs w:val="28"/>
        </w:rPr>
      </w:pPr>
      <w:r>
        <w:rPr>
          <w:rFonts w:hint="eastAsia" w:ascii="黑体" w:hAnsi="黑体" w:eastAsia="黑体"/>
          <w:b/>
          <w:sz w:val="28"/>
          <w:szCs w:val="28"/>
        </w:rPr>
        <w:t>五、相关方利益保护</w:t>
      </w:r>
    </w:p>
    <w:p>
      <w:pPr>
        <w:spacing w:before="156" w:beforeLines="50" w:after="156" w:afterLines="5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1. 对</w:t>
      </w:r>
      <w:r>
        <w:rPr>
          <w:rFonts w:hint="eastAsia" w:asciiTheme="minorEastAsia" w:hAnsiTheme="minorEastAsia" w:cstheme="minorEastAsia"/>
          <w:bCs/>
          <w:sz w:val="28"/>
          <w:szCs w:val="28"/>
          <w:lang w:val="en-US" w:eastAsia="zh-CN"/>
        </w:rPr>
        <w:t>董事长</w:t>
      </w:r>
      <w:r>
        <w:rPr>
          <w:rFonts w:hint="eastAsia" w:asciiTheme="minorEastAsia" w:hAnsiTheme="minorEastAsia" w:cstheme="minorEastAsia"/>
          <w:bCs/>
          <w:sz w:val="28"/>
          <w:szCs w:val="28"/>
        </w:rPr>
        <w:t>利益的保护</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公司由</w:t>
      </w:r>
      <w:r>
        <w:rPr>
          <w:rFonts w:hint="eastAsia" w:asciiTheme="minorEastAsia" w:hAnsiTheme="minorEastAsia" w:cstheme="minorEastAsia"/>
          <w:bCs/>
          <w:sz w:val="28"/>
          <w:szCs w:val="28"/>
          <w:lang w:val="en-US" w:eastAsia="zh-CN"/>
        </w:rPr>
        <w:t>总经理、</w:t>
      </w:r>
      <w:r>
        <w:rPr>
          <w:rFonts w:hint="eastAsia" w:asciiTheme="minorEastAsia" w:hAnsiTheme="minorEastAsia" w:cstheme="minorEastAsia"/>
          <w:bCs/>
          <w:sz w:val="28"/>
          <w:szCs w:val="28"/>
        </w:rPr>
        <w:t>财务部负责管理</w:t>
      </w:r>
      <w:r>
        <w:rPr>
          <w:rFonts w:hint="eastAsia" w:asciiTheme="minorEastAsia" w:hAnsiTheme="minorEastAsia" w:cstheme="minorEastAsia"/>
          <w:bCs/>
          <w:sz w:val="28"/>
          <w:szCs w:val="28"/>
          <w:lang w:val="en-US" w:eastAsia="zh-CN"/>
        </w:rPr>
        <w:t>公司</w:t>
      </w:r>
      <w:r>
        <w:rPr>
          <w:rFonts w:hint="eastAsia" w:asciiTheme="minorEastAsia" w:hAnsiTheme="minorEastAsia" w:cstheme="minorEastAsia"/>
          <w:bCs/>
          <w:sz w:val="28"/>
          <w:szCs w:val="28"/>
        </w:rPr>
        <w:t>利益保护，对公司高级管理人员职权行使、重大投资、财务收资和经济活动等组织行为监督、审计，保证组织活动的合法性、规范性、有效性。充分确保公司各职能部门和公司各司其职。</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公司每年会计年度的财务会计报表，均依法经审验证，并在制成后的十五天内，报送公司</w:t>
      </w:r>
      <w:r>
        <w:rPr>
          <w:rFonts w:hint="eastAsia" w:asciiTheme="minorEastAsia" w:hAnsiTheme="minorEastAsia" w:cstheme="minorEastAsia"/>
          <w:bCs/>
          <w:sz w:val="28"/>
          <w:szCs w:val="28"/>
          <w:lang w:val="en-US" w:eastAsia="zh-CN"/>
        </w:rPr>
        <w:t>总经理</w:t>
      </w:r>
      <w:r>
        <w:rPr>
          <w:rFonts w:hint="eastAsia" w:asciiTheme="minorEastAsia" w:hAnsiTheme="minorEastAsia" w:cstheme="minorEastAsia"/>
          <w:bCs/>
          <w:sz w:val="28"/>
          <w:szCs w:val="28"/>
        </w:rPr>
        <w:t>。公司实行公开招投标制度，对供应物资比价采购、大宗用品集中采购、达一定数额的技改项目进行招标管理。不断提高公司盈利水平，实现资产的增值，保证股东的投资利益。</w:t>
      </w:r>
    </w:p>
    <w:p>
      <w:pPr>
        <w:numPr>
          <w:ilvl w:val="0"/>
          <w:numId w:val="3"/>
        </w:numPr>
        <w:spacing w:before="156" w:beforeLines="50" w:after="156" w:afterLines="5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对顾客利益的保护</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以满足客户需求为宗旨，不仅为客户提供满足需求和期望的羊绒制品，还根据市场变化情况，与顾客建立良好的沟通机制，并在特殊情况下积极为顾客提供特殊化、个性化的产品和服务，充分保护顾客的利益。公司及时做好售前、售中、售后的各项服务工作，针对特殊客户执行订制服务，同时做好用户的各项服务工作，确保用户正确使用。</w:t>
      </w:r>
    </w:p>
    <w:p>
      <w:pPr>
        <w:numPr>
          <w:ilvl w:val="0"/>
          <w:numId w:val="3"/>
        </w:numPr>
        <w:spacing w:before="156" w:beforeLines="50" w:after="156" w:afterLines="5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对供应商的利益保护</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严格按照采购合同的规定向供应商支付货款，当供应商遇到资金压力时，公司会通过提前付款或预付款的形式对重要供应商进行必要的资金支持；公司还定期组织开展合格供方评价工作，及时分享我们的经验，并提出我们的合理化建议，帮助供方不断提升自身的技术、管理及服务水平。多年来对于供货商的货款均准时支付，从未有拖欠或延迟的状况。</w:t>
      </w:r>
    </w:p>
    <w:p>
      <w:pPr>
        <w:numPr>
          <w:ilvl w:val="0"/>
          <w:numId w:val="3"/>
        </w:numPr>
        <w:spacing w:before="156" w:beforeLines="50" w:after="156" w:afterLines="5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rPr>
        <w:t>其他相关利益的保护</w:t>
      </w:r>
    </w:p>
    <w:p>
      <w:pPr>
        <w:spacing w:before="156" w:beforeLines="50" w:after="156" w:afterLines="50" w:line="360" w:lineRule="auto"/>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cstheme="minorEastAsia"/>
          <w:bCs/>
          <w:sz w:val="28"/>
          <w:szCs w:val="28"/>
        </w:rPr>
        <w:t>公司严格做到按约借贷、按期还贷，与各金融机构保持了良好的借贷关系，近年来，在使用银行的贷款过程中从未有过一次逾期返还和欠息；公司依法纳税，积极配合当地政府和其它机构的各项工作，严格遵守各项法律法规，积极投身环保、节能、社会公益事业、新农村建设、基础设施建设及慈善事业中去。</w:t>
      </w:r>
    </w:p>
    <w:p>
      <w:pPr>
        <w:spacing w:before="156" w:beforeLines="50" w:after="156" w:afterLines="50" w:line="360" w:lineRule="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环境保护</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随着全球经济发展水平的不断提高与能源消耗的大幅提高，环保生产与绿色消费已成为当今世界主要趋势，公司积极投身环保生产，</w:t>
      </w:r>
    </w:p>
    <w:p>
      <w:pPr>
        <w:spacing w:before="156" w:beforeLines="50" w:after="156" w:afterLines="50" w:line="360" w:lineRule="auto"/>
        <w:rPr>
          <w:rFonts w:asciiTheme="minorEastAsia" w:hAnsiTheme="minorEastAsia"/>
          <w:bCs/>
          <w:sz w:val="28"/>
          <w:szCs w:val="28"/>
        </w:rPr>
      </w:pPr>
      <w:r>
        <w:rPr>
          <w:rFonts w:hint="eastAsia" w:asciiTheme="minorEastAsia" w:hAnsiTheme="minorEastAsia"/>
          <w:bCs/>
          <w:sz w:val="28"/>
          <w:szCs w:val="28"/>
        </w:rPr>
        <w:t>提高员工环保意识，提倡节能降耗，加强环境管理，将环境保护作为公司经济发展的同步目标，积极将公司建设成为环境友好企业。</w:t>
      </w:r>
    </w:p>
    <w:p>
      <w:pPr>
        <w:spacing w:before="156" w:beforeLines="50" w:after="156" w:afterLines="50" w:line="360" w:lineRule="auto"/>
        <w:ind w:firstLine="560" w:firstLineChars="200"/>
        <w:rPr>
          <w:rFonts w:asciiTheme="minorEastAsia" w:hAnsiTheme="minorEastAsia"/>
          <w:b/>
          <w:sz w:val="28"/>
          <w:szCs w:val="28"/>
        </w:rPr>
      </w:pPr>
      <w:r>
        <w:rPr>
          <w:rFonts w:hint="eastAsia" w:asciiTheme="minorEastAsia" w:hAnsiTheme="minorEastAsia"/>
          <w:bCs/>
          <w:sz w:val="28"/>
          <w:szCs w:val="28"/>
        </w:rPr>
        <w:t>公司于20</w:t>
      </w:r>
      <w:r>
        <w:rPr>
          <w:rFonts w:hint="eastAsia" w:asciiTheme="minorEastAsia" w:hAnsiTheme="minorEastAsia"/>
          <w:bCs/>
          <w:sz w:val="28"/>
          <w:szCs w:val="28"/>
          <w:lang w:val="en-US" w:eastAsia="zh-CN"/>
        </w:rPr>
        <w:t>21</w:t>
      </w:r>
      <w:r>
        <w:rPr>
          <w:rFonts w:hint="eastAsia" w:asciiTheme="minorEastAsia" w:hAnsiTheme="minorEastAsia"/>
          <w:bCs/>
          <w:sz w:val="28"/>
          <w:szCs w:val="28"/>
        </w:rPr>
        <w:t>年就导入了以ISO 14001：2</w:t>
      </w:r>
      <w:r>
        <w:rPr>
          <w:rFonts w:asciiTheme="minorEastAsia" w:hAnsiTheme="minorEastAsia"/>
          <w:bCs/>
          <w:sz w:val="28"/>
          <w:szCs w:val="28"/>
        </w:rPr>
        <w:t>015</w:t>
      </w:r>
      <w:r>
        <w:rPr>
          <w:rFonts w:hint="eastAsia" w:asciiTheme="minorEastAsia" w:hAnsiTheme="minorEastAsia"/>
          <w:bCs/>
          <w:sz w:val="28"/>
          <w:szCs w:val="28"/>
        </w:rPr>
        <w:t>为标准的环境管理体系，并于20</w:t>
      </w:r>
      <w:r>
        <w:rPr>
          <w:rFonts w:hint="eastAsia" w:asciiTheme="minorEastAsia" w:hAnsiTheme="minorEastAsia"/>
          <w:bCs/>
          <w:sz w:val="28"/>
          <w:szCs w:val="28"/>
          <w:lang w:val="en-US" w:eastAsia="zh-CN"/>
        </w:rPr>
        <w:t>22</w:t>
      </w:r>
      <w:r>
        <w:rPr>
          <w:rFonts w:hint="eastAsia" w:asciiTheme="minorEastAsia" w:hAnsiTheme="minorEastAsia"/>
          <w:bCs/>
          <w:sz w:val="28"/>
          <w:szCs w:val="28"/>
        </w:rPr>
        <w:t>年</w:t>
      </w:r>
      <w:r>
        <w:rPr>
          <w:rFonts w:hint="eastAsia" w:asciiTheme="minorEastAsia" w:hAnsiTheme="minorEastAsia"/>
          <w:bCs/>
          <w:sz w:val="28"/>
          <w:szCs w:val="28"/>
          <w:lang w:val="en-US" w:eastAsia="zh-CN"/>
        </w:rPr>
        <w:t>6</w:t>
      </w:r>
      <w:r>
        <w:rPr>
          <w:rFonts w:hint="eastAsia" w:asciiTheme="minorEastAsia" w:hAnsiTheme="minorEastAsia"/>
          <w:bCs/>
          <w:sz w:val="28"/>
          <w:szCs w:val="28"/>
        </w:rPr>
        <w:t>月通过了环境管理体系的现场认证审核。</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公司任命了工程部主管为环境管理体系的管理者代表，建立了</w:t>
      </w:r>
      <w:r>
        <w:rPr>
          <w:rFonts w:hint="eastAsia" w:asciiTheme="minorEastAsia" w:hAnsiTheme="minorEastAsia" w:cstheme="minorEastAsia"/>
          <w:bCs/>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环境因素识别评价表</w:t>
      </w:r>
      <w:r>
        <w:rPr>
          <w:rFonts w:hint="eastAsia" w:asciiTheme="minorEastAsia" w:hAnsiTheme="minorEastAsia" w:cstheme="minorEastAsia"/>
          <w:bCs/>
          <w:color w:val="000000" w:themeColor="text1"/>
          <w:sz w:val="28"/>
          <w:szCs w:val="28"/>
          <w14:textFill>
            <w14:solidFill>
              <w14:schemeClr w14:val="tx1"/>
            </w14:solidFill>
          </w14:textFill>
        </w:rPr>
        <w:t>》</w:t>
      </w:r>
      <w:r>
        <w:rPr>
          <w:rFonts w:hint="eastAsia" w:asciiTheme="minorEastAsia" w:hAnsiTheme="minorEastAsia" w:cstheme="minorEastAsia"/>
          <w:bCs/>
          <w:sz w:val="28"/>
          <w:szCs w:val="28"/>
        </w:rPr>
        <w:t>，规定了各部门与环境管理体系相关的职责权限。</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公司建立了环境管理的宗旨即环境管理方针“</w:t>
      </w:r>
      <w:r>
        <w:rPr>
          <w:rFonts w:hint="eastAsia" w:asciiTheme="minorEastAsia" w:hAnsiTheme="minorEastAsia" w:cstheme="minorEastAsia"/>
          <w:bCs/>
          <w:sz w:val="28"/>
          <w:szCs w:val="28"/>
          <w:lang w:eastAsia="zh-CN"/>
        </w:rPr>
        <w:t>预防为主，遵守法规，保护环境，健康安全</w:t>
      </w:r>
      <w:r>
        <w:rPr>
          <w:rFonts w:hint="eastAsia" w:asciiTheme="minorEastAsia" w:hAnsiTheme="minorEastAsia" w:cstheme="minorEastAsia"/>
          <w:bCs/>
          <w:sz w:val="28"/>
          <w:szCs w:val="28"/>
        </w:rPr>
        <w:t>”，以及相关的环境管理目标“1、生产废水、废气和厂界噪音达标排放；2、危险废弃物合法处理率达100%；”。</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识别了生产活动和管理活动产生的环境因素，并将其中的“废水排放、噪声排放、固体废弃物排放、外包染色含有重金属废水排放”等评估为重要环境因素，对各重要环境因素分别建立和运行了控制程序和控制准则，同时对控制过程实施监视测量，确保控制目标的达成。</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rPr>
        <w:t>公司通过环境管理体系的运行，向顾客及其他相关方提供这样的信息：“一个能对环境负责的企业，它的产品和服务一定能对用户负责，让用户满意”；“公司的关注点，已不仅仅是质量，而是对人类的责任”。</w:t>
      </w:r>
    </w:p>
    <w:p>
      <w:pPr>
        <w:spacing w:before="156" w:beforeLines="50" w:after="156" w:afterLines="50" w:line="360" w:lineRule="auto"/>
        <w:ind w:firstLine="560" w:firstLineChars="200"/>
        <w:rPr>
          <w:rFonts w:asciiTheme="minorEastAsia" w:hAnsiTheme="minorEastAsia" w:cstheme="minorEastAsia"/>
          <w:bCs/>
          <w:sz w:val="28"/>
          <w:szCs w:val="28"/>
        </w:rPr>
      </w:pPr>
      <w:r>
        <w:rPr>
          <w:rFonts w:hint="eastAsia" w:asciiTheme="minorEastAsia" w:hAnsiTheme="minorEastAsia" w:cstheme="minorEastAsia"/>
          <w:bCs/>
          <w:sz w:val="28"/>
          <w:szCs w:val="28"/>
          <w:lang w:val="en-US" w:eastAsia="zh-CN"/>
        </w:rPr>
        <w:t>三</w:t>
      </w:r>
      <w:r>
        <w:rPr>
          <w:rFonts w:hint="eastAsia" w:asciiTheme="minorEastAsia" w:hAnsiTheme="minorEastAsia" w:cstheme="minorEastAsia"/>
          <w:bCs/>
          <w:sz w:val="28"/>
          <w:szCs w:val="28"/>
        </w:rPr>
        <w:t>年来，环境管理的绩效良好。未出现废水、废气、噪声超标排放的情况。</w:t>
      </w:r>
      <w:r>
        <w:rPr>
          <w:rFonts w:hint="eastAsia" w:asciiTheme="minorEastAsia" w:hAnsiTheme="minorEastAsia" w:cstheme="minorEastAsia"/>
          <w:bCs/>
          <w:sz w:val="28"/>
          <w:szCs w:val="28"/>
          <w:lang w:val="en-US" w:eastAsia="zh-CN"/>
        </w:rPr>
        <w:t>也未发生相关职能部门环境处罚事件。</w:t>
      </w:r>
      <w:r>
        <w:rPr>
          <w:rFonts w:hint="eastAsia" w:asciiTheme="minorEastAsia" w:hAnsiTheme="minorEastAsia" w:cstheme="minorEastAsia"/>
          <w:bCs/>
          <w:sz w:val="28"/>
          <w:szCs w:val="28"/>
        </w:rPr>
        <w:t>201</w:t>
      </w:r>
      <w:r>
        <w:rPr>
          <w:rFonts w:asciiTheme="minorEastAsia" w:hAnsiTheme="minorEastAsia" w:cstheme="minorEastAsia"/>
          <w:bCs/>
          <w:sz w:val="28"/>
          <w:szCs w:val="28"/>
        </w:rPr>
        <w:t>8</w:t>
      </w:r>
      <w:r>
        <w:rPr>
          <w:rFonts w:hint="eastAsia" w:asciiTheme="minorEastAsia" w:hAnsiTheme="minorEastAsia" w:cstheme="minorEastAsia"/>
          <w:bCs/>
          <w:sz w:val="28"/>
          <w:szCs w:val="28"/>
        </w:rPr>
        <w:t>年公司对废气的处理装置进行了整改，有效的改善了公司生产废气的排放。2019年环境的三废检测均达标。</w:t>
      </w:r>
    </w:p>
    <w:p>
      <w:pPr>
        <w:spacing w:before="156" w:beforeLines="50" w:after="156" w:afterLines="50" w:line="360" w:lineRule="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职业健康安全管理</w:t>
      </w:r>
    </w:p>
    <w:p>
      <w:pPr>
        <w:spacing w:before="156" w:beforeLines="50" w:after="156" w:afterLines="50" w:line="360" w:lineRule="auto"/>
        <w:ind w:firstLine="560" w:firstLineChars="200"/>
        <w:rPr>
          <w:rFonts w:asciiTheme="minorEastAsia" w:hAnsiTheme="minorEastAsia"/>
          <w:b/>
          <w:sz w:val="28"/>
          <w:szCs w:val="28"/>
        </w:rPr>
      </w:pPr>
      <w:r>
        <w:rPr>
          <w:rFonts w:hint="eastAsia" w:asciiTheme="minorEastAsia" w:hAnsiTheme="minorEastAsia"/>
          <w:bCs/>
          <w:sz w:val="28"/>
          <w:szCs w:val="28"/>
        </w:rPr>
        <w:t>公司为了控制和降低职业健康安全风险，持续改进组织的职业健康安全管理绩效，调动员工的生产积极性，满足顾客及其他相关方的需求和期望，改善政府、企业和员工三者之间的关系，更好地承担公司的社会责任，提高公司社会效益和经济效益。公司于20</w:t>
      </w:r>
      <w:r>
        <w:rPr>
          <w:rFonts w:hint="eastAsia" w:asciiTheme="minorEastAsia" w:hAnsiTheme="minorEastAsia"/>
          <w:bCs/>
          <w:sz w:val="28"/>
          <w:szCs w:val="28"/>
          <w:lang w:val="en-US" w:eastAsia="zh-CN"/>
        </w:rPr>
        <w:t>21</w:t>
      </w:r>
      <w:r>
        <w:rPr>
          <w:rFonts w:hint="eastAsia" w:asciiTheme="minorEastAsia" w:hAnsiTheme="minorEastAsia"/>
          <w:bCs/>
          <w:sz w:val="28"/>
          <w:szCs w:val="28"/>
        </w:rPr>
        <w:t>年导入了以</w:t>
      </w:r>
      <w:r>
        <w:rPr>
          <w:rFonts w:asciiTheme="minorEastAsia" w:hAnsiTheme="minorEastAsia"/>
          <w:bCs/>
          <w:sz w:val="28"/>
          <w:szCs w:val="28"/>
        </w:rPr>
        <w:t>ISO45001:2018</w:t>
      </w:r>
      <w:r>
        <w:rPr>
          <w:rFonts w:hint="eastAsia" w:asciiTheme="minorEastAsia" w:hAnsiTheme="minorEastAsia"/>
          <w:bCs/>
          <w:sz w:val="28"/>
          <w:szCs w:val="28"/>
        </w:rPr>
        <w:t>为标准的职业健康安全管理体系，</w:t>
      </w:r>
      <w:r>
        <w:rPr>
          <w:rFonts w:hint="eastAsia" w:asciiTheme="minorEastAsia" w:hAnsiTheme="minorEastAsia"/>
          <w:bCs/>
          <w:sz w:val="28"/>
          <w:szCs w:val="28"/>
          <w:lang w:val="en-US" w:eastAsia="zh-CN"/>
        </w:rPr>
        <w:t>2022年</w:t>
      </w:r>
      <w:r>
        <w:rPr>
          <w:rFonts w:hint="eastAsia" w:asciiTheme="minorEastAsia" w:hAnsiTheme="minorEastAsia"/>
          <w:bCs/>
          <w:sz w:val="28"/>
          <w:szCs w:val="28"/>
        </w:rPr>
        <w:t>通过了第三方的认证。</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公司任命了管理者代表，组织选举了</w:t>
      </w:r>
      <w:r>
        <w:rPr>
          <w:rFonts w:hint="eastAsia" w:asciiTheme="minorEastAsia" w:hAnsiTheme="minorEastAsia"/>
          <w:bCs/>
          <w:sz w:val="28"/>
          <w:szCs w:val="28"/>
          <w:lang w:val="en-US" w:eastAsia="zh-CN"/>
        </w:rPr>
        <w:t>熊灿发</w:t>
      </w:r>
      <w:r>
        <w:rPr>
          <w:rFonts w:hint="eastAsia" w:asciiTheme="minorEastAsia" w:hAnsiTheme="minorEastAsia"/>
          <w:bCs/>
          <w:sz w:val="28"/>
          <w:szCs w:val="28"/>
        </w:rPr>
        <w:t>员工代表，建立了</w:t>
      </w:r>
      <w:r>
        <w:rPr>
          <w:rFonts w:hint="eastAsia" w:asciiTheme="minorEastAsia" w:hAnsiTheme="minorEastAsia"/>
          <w:bCs/>
          <w:sz w:val="28"/>
          <w:szCs w:val="28"/>
          <w:lang w:eastAsia="zh-CN"/>
        </w:rPr>
        <w:t>《</w:t>
      </w:r>
      <w:r>
        <w:rPr>
          <w:rFonts w:hint="eastAsia" w:asciiTheme="minorEastAsia" w:hAnsiTheme="minorEastAsia"/>
          <w:bCs/>
          <w:color w:val="000000" w:themeColor="text1"/>
          <w:sz w:val="28"/>
          <w:szCs w:val="28"/>
          <w:lang w:val="en-US" w:eastAsia="zh-CN"/>
          <w14:textFill>
            <w14:solidFill>
              <w14:schemeClr w14:val="tx1"/>
            </w14:solidFill>
          </w14:textFill>
        </w:rPr>
        <w:t>管理手册》和程序文件</w:t>
      </w:r>
      <w:r>
        <w:rPr>
          <w:rFonts w:hint="eastAsia" w:asciiTheme="minorEastAsia" w:hAnsiTheme="minorEastAsia"/>
          <w:bCs/>
          <w:sz w:val="28"/>
          <w:szCs w:val="28"/>
        </w:rPr>
        <w:t>，规定了各部门与职业健康安全管理体系相关的职责权限。</w:t>
      </w:r>
    </w:p>
    <w:p>
      <w:pPr>
        <w:spacing w:before="69" w:line="360" w:lineRule="auto"/>
        <w:ind w:firstLine="246"/>
        <w:rPr>
          <w:rFonts w:asciiTheme="minorEastAsia" w:hAnsiTheme="minorEastAsia"/>
          <w:bCs/>
          <w:sz w:val="28"/>
          <w:szCs w:val="28"/>
        </w:rPr>
      </w:pPr>
      <w:r>
        <w:rPr>
          <w:rFonts w:hint="eastAsia" w:asciiTheme="minorEastAsia" w:hAnsiTheme="minorEastAsia"/>
          <w:bCs/>
          <w:sz w:val="28"/>
          <w:szCs w:val="28"/>
        </w:rPr>
        <w:t>公司建立了职业健康安全管理的宗旨即职业健康安全管理方针“</w:t>
      </w:r>
      <w:r>
        <w:rPr>
          <w:rFonts w:hint="eastAsia" w:asciiTheme="minorEastAsia" w:hAnsiTheme="minorEastAsia"/>
          <w:bCs/>
          <w:sz w:val="28"/>
          <w:szCs w:val="28"/>
          <w:lang w:eastAsia="zh-CN"/>
        </w:rPr>
        <w:t>预防为主，遵守法规，保护环境，健康安全</w:t>
      </w:r>
      <w:r>
        <w:rPr>
          <w:rFonts w:hint="eastAsia" w:asciiTheme="minorEastAsia" w:hAnsiTheme="minorEastAsia"/>
          <w:bCs/>
          <w:sz w:val="28"/>
          <w:szCs w:val="28"/>
        </w:rPr>
        <w:t>。”以及相关的职业健康安全管理目标，包括“</w:t>
      </w:r>
      <w:r>
        <w:rPr>
          <w:rFonts w:hint="eastAsia" w:asciiTheme="minorEastAsia" w:hAnsiTheme="minorEastAsia"/>
          <w:bCs/>
          <w:sz w:val="28"/>
          <w:szCs w:val="28"/>
          <w:lang w:val="en-US" w:eastAsia="zh-CN"/>
        </w:rPr>
        <w:t>1. 杜绝重大安全事故，一般事故控制每年不超过2次；2. 无职业病发生。</w:t>
      </w:r>
      <w:r>
        <w:rPr>
          <w:rFonts w:hint="eastAsia" w:asciiTheme="minorEastAsia" w:hAnsiTheme="minorEastAsia"/>
          <w:bCs/>
          <w:sz w:val="28"/>
          <w:szCs w:val="28"/>
        </w:rPr>
        <w:t>”。</w:t>
      </w:r>
    </w:p>
    <w:p>
      <w:pPr>
        <w:spacing w:before="156" w:beforeLines="50" w:after="156" w:afterLines="50" w:line="360" w:lineRule="auto"/>
        <w:ind w:firstLine="560" w:firstLineChars="200"/>
        <w:rPr>
          <w:bCs/>
          <w:sz w:val="28"/>
          <w:szCs w:val="28"/>
        </w:rPr>
      </w:pPr>
      <w:r>
        <w:rPr>
          <w:rFonts w:hint="eastAsia" w:asciiTheme="minorEastAsia" w:hAnsiTheme="minorEastAsia"/>
          <w:bCs/>
          <w:sz w:val="28"/>
          <w:szCs w:val="28"/>
        </w:rPr>
        <w:t>公司识别了生产活动和管理活动产生的危险源，并将其中的“漏电、电路缺陷、发热的设备设施、挥发气体、不按规定使用明火、易燃品引发火灾”等</w:t>
      </w:r>
      <w:r>
        <w:rPr>
          <w:bCs/>
          <w:sz w:val="28"/>
          <w:szCs w:val="28"/>
        </w:rPr>
        <w:t>评估为重大危险源</w:t>
      </w:r>
      <w:r>
        <w:rPr>
          <w:rFonts w:hint="eastAsia"/>
          <w:bCs/>
          <w:sz w:val="28"/>
          <w:szCs w:val="28"/>
        </w:rPr>
        <w:t>，对各重大危险源分别</w:t>
      </w:r>
      <w:r>
        <w:rPr>
          <w:bCs/>
          <w:sz w:val="28"/>
          <w:szCs w:val="28"/>
        </w:rPr>
        <w:t>建立和运行了控制目标和相关的控制方案</w:t>
      </w:r>
      <w:r>
        <w:rPr>
          <w:rFonts w:hint="eastAsia"/>
          <w:bCs/>
          <w:sz w:val="28"/>
          <w:szCs w:val="28"/>
        </w:rPr>
        <w:t>，</w:t>
      </w:r>
      <w:r>
        <w:rPr>
          <w:bCs/>
          <w:sz w:val="28"/>
          <w:szCs w:val="28"/>
        </w:rPr>
        <w:t>通过有效地运行控制方案达成目标</w:t>
      </w:r>
      <w:r>
        <w:rPr>
          <w:rFonts w:hint="eastAsia"/>
          <w:bCs/>
          <w:sz w:val="28"/>
          <w:szCs w:val="28"/>
        </w:rPr>
        <w:t>，</w:t>
      </w:r>
      <w:r>
        <w:rPr>
          <w:bCs/>
          <w:sz w:val="28"/>
          <w:szCs w:val="28"/>
        </w:rPr>
        <w:t>为了保持目标又建立了控制程序和控制准则</w:t>
      </w:r>
      <w:r>
        <w:rPr>
          <w:rFonts w:hint="eastAsia"/>
          <w:bCs/>
          <w:sz w:val="28"/>
          <w:szCs w:val="28"/>
        </w:rPr>
        <w:t>，同时对控制过程实施监视测量，确保控制目标的达成。</w:t>
      </w:r>
    </w:p>
    <w:p>
      <w:pPr>
        <w:spacing w:before="156" w:beforeLines="50" w:after="156" w:afterLines="50" w:line="360" w:lineRule="auto"/>
        <w:ind w:firstLine="560" w:firstLineChars="200"/>
        <w:rPr>
          <w:rFonts w:asciiTheme="minorEastAsia" w:hAnsiTheme="minorEastAsia"/>
          <w:bCs/>
          <w:sz w:val="28"/>
          <w:szCs w:val="28"/>
        </w:rPr>
      </w:pPr>
      <w:r>
        <w:rPr>
          <w:rFonts w:hint="eastAsia"/>
          <w:bCs/>
          <w:sz w:val="28"/>
          <w:szCs w:val="28"/>
        </w:rPr>
        <w:t>公司通过职业健康安全管理体系的运行，向顾客及其他相关方提供这样的信息：“</w:t>
      </w:r>
      <w:r>
        <w:rPr>
          <w:rFonts w:hint="eastAsia" w:asciiTheme="minorEastAsia" w:hAnsiTheme="minorEastAsia"/>
          <w:bCs/>
          <w:sz w:val="28"/>
          <w:szCs w:val="28"/>
        </w:rPr>
        <w:t>导入职业安全健康管理体系，将有助于确保员工的安全和健康，有助于减少健康与安全所带来的损失，支持职业安全健康在整个公司内及所有供方及承包方取得良好绩效;有助于改善管理水平，分享企业社会责任和可持续发展的社会要素所发挥的作用。</w:t>
      </w:r>
    </w:p>
    <w:p>
      <w:pPr>
        <w:spacing w:before="156" w:beforeLines="50" w:after="156" w:afterLines="50" w:line="360" w:lineRule="auto"/>
        <w:ind w:firstLine="560" w:firstLineChars="200"/>
        <w:rPr>
          <w:rFonts w:asciiTheme="minorEastAsia" w:hAnsiTheme="minorEastAsia"/>
          <w:b/>
          <w:sz w:val="28"/>
          <w:szCs w:val="28"/>
        </w:rPr>
      </w:pPr>
      <w:r>
        <w:rPr>
          <w:rFonts w:hint="eastAsia"/>
          <w:bCs/>
          <w:sz w:val="28"/>
          <w:szCs w:val="28"/>
          <w:lang w:val="en-US" w:eastAsia="zh-CN"/>
        </w:rPr>
        <w:t>三</w:t>
      </w:r>
      <w:r>
        <w:rPr>
          <w:rFonts w:hint="eastAsia"/>
          <w:bCs/>
          <w:sz w:val="28"/>
          <w:szCs w:val="28"/>
        </w:rPr>
        <w:t>年来，职业健康安全管理的绩效良好，无重大安全事故的发生，无职业病的发生</w:t>
      </w:r>
      <w:r>
        <w:rPr>
          <w:rFonts w:hint="eastAsia"/>
          <w:bCs/>
          <w:sz w:val="28"/>
          <w:szCs w:val="28"/>
          <w:lang w:eastAsia="zh-CN"/>
        </w:rPr>
        <w:t>，</w:t>
      </w:r>
      <w:r>
        <w:rPr>
          <w:rFonts w:hint="eastAsia"/>
          <w:bCs/>
          <w:sz w:val="28"/>
          <w:szCs w:val="28"/>
          <w:lang w:val="en-US" w:eastAsia="zh-CN"/>
        </w:rPr>
        <w:t>无相关方职业健康安全的投诉事件发生</w:t>
      </w:r>
      <w:r>
        <w:rPr>
          <w:rFonts w:hint="eastAsia"/>
          <w:bCs/>
          <w:sz w:val="28"/>
          <w:szCs w:val="28"/>
        </w:rPr>
        <w:t>。</w:t>
      </w:r>
      <w:r>
        <w:rPr>
          <w:rFonts w:hint="eastAsia"/>
          <w:bCs/>
          <w:sz w:val="28"/>
          <w:szCs w:val="28"/>
          <w:lang w:val="en-US" w:eastAsia="zh-CN"/>
        </w:rPr>
        <w:t>2020</w:t>
      </w:r>
      <w:r>
        <w:rPr>
          <w:rFonts w:hint="eastAsia"/>
          <w:bCs/>
          <w:sz w:val="28"/>
          <w:szCs w:val="28"/>
        </w:rPr>
        <w:t>年</w:t>
      </w:r>
      <w:r>
        <w:rPr>
          <w:rFonts w:hint="eastAsia"/>
          <w:bCs/>
          <w:sz w:val="28"/>
          <w:szCs w:val="28"/>
          <w:lang w:val="en-US" w:eastAsia="zh-CN"/>
        </w:rPr>
        <w:t>至今连续三年</w:t>
      </w:r>
      <w:r>
        <w:rPr>
          <w:rFonts w:hint="eastAsia"/>
          <w:bCs/>
          <w:sz w:val="28"/>
          <w:szCs w:val="28"/>
        </w:rPr>
        <w:t>车间内部有害因素检测均达标，20</w:t>
      </w:r>
      <w:r>
        <w:rPr>
          <w:rFonts w:hint="eastAsia"/>
          <w:bCs/>
          <w:sz w:val="28"/>
          <w:szCs w:val="28"/>
          <w:lang w:val="en-US" w:eastAsia="zh-CN"/>
        </w:rPr>
        <w:t>22</w:t>
      </w:r>
      <w:r>
        <w:rPr>
          <w:rFonts w:hint="eastAsia"/>
          <w:bCs/>
          <w:sz w:val="28"/>
          <w:szCs w:val="28"/>
        </w:rPr>
        <w:t>年职业病体检无职业病、职业禁忌情况发生。</w:t>
      </w:r>
    </w:p>
    <w:p>
      <w:pPr>
        <w:spacing w:before="156" w:beforeLines="50" w:after="156" w:afterLines="50" w:line="360" w:lineRule="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员工发展</w:t>
      </w:r>
    </w:p>
    <w:p>
      <w:pPr>
        <w:spacing w:before="156" w:beforeLines="50" w:after="156" w:afterLines="50" w:line="360" w:lineRule="auto"/>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公司文化形成了公司人才观：“人才是公司最重要的资本。公司广纳英才，培养人才，成就一批德才兼备、各有专长的精英团队，与企业荣辱与共，共同发展，成为公司事业的中流砥柱。关爱员工，让员工获得事业的成功、财富的增长、学识的进步和心灵的愉悦。”</w:t>
      </w:r>
    </w:p>
    <w:p>
      <w:pPr>
        <w:spacing w:before="156" w:beforeLines="50" w:after="156" w:afterLines="50" w:line="360" w:lineRule="auto"/>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FF0000"/>
          <w:sz w:val="28"/>
          <w:szCs w:val="28"/>
        </w:rPr>
        <w:t xml:space="preserve">   </w:t>
      </w:r>
      <w:r>
        <w:rPr>
          <w:rFonts w:hint="eastAsia" w:asciiTheme="minorEastAsia" w:hAnsiTheme="minorEastAsia"/>
          <w:bCs/>
          <w:color w:val="000000" w:themeColor="text1"/>
          <w:sz w:val="28"/>
          <w:szCs w:val="28"/>
          <w14:textFill>
            <w14:solidFill>
              <w14:schemeClr w14:val="tx1"/>
            </w14:solidFill>
          </w14:textFill>
        </w:rPr>
        <w:t xml:space="preserve"> 公司通过建立人力资源管理系统，将人力资源作为公司最重要的资源来实施系统化管理，通过关爱员工、培训员工、组织员工进行志愿服务等企业社会责任行动，增强员工凝聚力、储备公司人才、培养员工责任感，最终提升公司的人力价值；</w:t>
      </w:r>
    </w:p>
    <w:p>
      <w:pPr>
        <w:numPr>
          <w:ilvl w:val="0"/>
          <w:numId w:val="4"/>
        </w:numPr>
        <w:rPr>
          <w:rFonts w:ascii="黑体" w:hAnsi="黑体" w:eastAsia="黑体"/>
          <w:b/>
          <w:sz w:val="28"/>
          <w:szCs w:val="28"/>
        </w:rPr>
      </w:pPr>
      <w:r>
        <w:rPr>
          <w:rFonts w:hint="eastAsia" w:ascii="黑体" w:hAnsi="黑体" w:eastAsia="黑体"/>
          <w:b/>
          <w:sz w:val="28"/>
          <w:szCs w:val="28"/>
        </w:rPr>
        <w:t>员工主动参与</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通过建立制度与规范，代表参与、内部晋升、合理化建议等多种形式，为员工的主动参与创造平台。公司设计、组织了管理创新活动、技术创新竞赛等关键业务相关活动，组织公司全员参加，给员工提供施展自身才华的机会，并会根据情况对表现出色的员工给予晋升、资金、培训等奖励，吸引员工主动参与；然后，公司积极组织各类文体活动、社会活动，增强公司员工的向心力，培养员工的主人翁精神，在文化环境上让员工积极主动地参与到公司各项工作中。</w:t>
      </w:r>
    </w:p>
    <w:p>
      <w:pPr>
        <w:spacing w:before="156" w:beforeLines="50" w:after="156" w:afterLines="50" w:line="360" w:lineRule="auto"/>
        <w:ind w:firstLine="560" w:firstLineChars="200"/>
        <w:rPr>
          <w:rFonts w:asciiTheme="minorEastAsia" w:hAnsiTheme="minorEastAsia"/>
          <w:bCs/>
          <w:sz w:val="28"/>
          <w:szCs w:val="28"/>
        </w:rPr>
      </w:pPr>
    </w:p>
    <w:p>
      <w:pPr>
        <w:numPr>
          <w:ilvl w:val="0"/>
          <w:numId w:val="4"/>
        </w:numPr>
        <w:rPr>
          <w:rFonts w:ascii="黑体" w:hAnsi="黑体" w:eastAsia="黑体"/>
          <w:b/>
          <w:sz w:val="28"/>
          <w:szCs w:val="28"/>
        </w:rPr>
      </w:pPr>
      <w:r>
        <w:rPr>
          <w:rFonts w:hint="eastAsia" w:ascii="黑体" w:hAnsi="黑体" w:eastAsia="黑体"/>
          <w:b/>
          <w:sz w:val="28"/>
          <w:szCs w:val="28"/>
        </w:rPr>
        <w:t>群众性改进和创新</w:t>
      </w:r>
    </w:p>
    <w:p>
      <w:pPr>
        <w:spacing w:before="156" w:beforeLines="50" w:after="156" w:afterLines="50" w:line="360" w:lineRule="auto"/>
        <w:ind w:firstLine="560" w:firstLineChars="200"/>
        <w:rPr>
          <w:rFonts w:ascii="宋体" w:hAnsi="宋体"/>
          <w:b/>
          <w:color w:val="0000FF"/>
          <w:sz w:val="24"/>
        </w:rPr>
      </w:pPr>
      <w:r>
        <w:rPr>
          <w:rFonts w:hint="eastAsia" w:asciiTheme="minorEastAsia" w:hAnsiTheme="minorEastAsia"/>
          <w:bCs/>
          <w:sz w:val="28"/>
          <w:szCs w:val="28"/>
        </w:rPr>
        <w:t>公司建立了“QC小组”，设立了员工意见箱，并在每年成立专项领导小组，组织员工在管理创新、技术改革、生产工艺等方面提出意见和建议，对收集起来的建议和意见进行评价与实施，并对相关优秀的建议和意见予以奖励。对每年表现优秀的员工在年终发文进行表彰奖励，对一些获得荣誉的员工给予200～1000不等的奖励措施。公司通过多种方式和途径积极为员工建立献计献策的通道。</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公司每年定期举办“质量月活动”，对服务质量优、得到客户赞赏的员工进行奖励，推动了公司全面质量管理工作，增强了员工主人翁和不断改进质量的思想意识。</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倡导建立了“全员创新机制”，根据公司规定，公司技术创新工作不计学历、不计经验，鼓励有志于技术创新的员工主动提交技术创新创意，经专家评审组评审通过或决策层决策通过后，就可以以公司文件正式立项，自主开展相关技术研究和创新工作。同时，公司明确了员工自主参与技术创新的奖励机制，凡有提交通过评审和决策的技术创新创意，或完成技术创新项目的员工，公司都将按照具体指标进行资金、待遇、培训等奖励。</w:t>
      </w:r>
    </w:p>
    <w:p>
      <w:pPr>
        <w:numPr>
          <w:ilvl w:val="0"/>
          <w:numId w:val="4"/>
        </w:numPr>
        <w:rPr>
          <w:rFonts w:asciiTheme="minorEastAsia" w:hAnsiTheme="minorEastAsia"/>
          <w:b/>
          <w:sz w:val="28"/>
          <w:szCs w:val="28"/>
        </w:rPr>
      </w:pPr>
      <w:r>
        <w:rPr>
          <w:rFonts w:hint="eastAsia" w:ascii="黑体" w:hAnsi="黑体" w:eastAsia="黑体"/>
          <w:b/>
          <w:sz w:val="28"/>
          <w:szCs w:val="28"/>
        </w:rPr>
        <w:t>员工的学习和发展</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公司将员工学习和发展视为“投资”，把创建学习型组织，营造全员学习的氛围作为公司长期发展战略的重要组成部分。</w:t>
      </w:r>
    </w:p>
    <w:p>
      <w:pPr>
        <w:spacing w:before="156" w:beforeLines="50" w:after="156" w:afterLines="50" w:line="360" w:lineRule="auto"/>
        <w:ind w:firstLine="420" w:firstLineChars="200"/>
        <w:rPr>
          <w:rFonts w:hint="eastAsia" w:asciiTheme="minorEastAsia" w:hAnsiTheme="minorEastAsia" w:eastAsiaTheme="minorEastAsia"/>
          <w:bCs/>
          <w:sz w:val="28"/>
          <w:szCs w:val="28"/>
          <w:lang w:eastAsia="zh-CN"/>
        </w:rPr>
      </w:pPr>
      <w:r>
        <w:drawing>
          <wp:inline distT="0" distB="0" distL="114300" distR="114300">
            <wp:extent cx="2496820" cy="1636395"/>
            <wp:effectExtent l="0" t="0" r="508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96820" cy="1636395"/>
                    </a:xfrm>
                    <a:prstGeom prst="rect">
                      <a:avLst/>
                    </a:prstGeom>
                    <a:noFill/>
                    <a:ln>
                      <a:noFill/>
                    </a:ln>
                  </pic:spPr>
                </pic:pic>
              </a:graphicData>
            </a:graphic>
          </wp:inline>
        </w:drawing>
      </w:r>
    </w:p>
    <w:p>
      <w:pPr>
        <w:spacing w:before="156" w:beforeLines="50" w:after="156" w:afterLines="50" w:line="360" w:lineRule="auto"/>
        <w:ind w:firstLine="560" w:firstLineChars="200"/>
        <w:rPr>
          <w:rFonts w:asciiTheme="minorEastAsia" w:hAnsiTheme="minorEastAsia"/>
          <w:b/>
          <w:sz w:val="28"/>
          <w:szCs w:val="28"/>
        </w:rPr>
      </w:pPr>
      <w:r>
        <w:rPr>
          <w:rFonts w:hint="eastAsia" w:asciiTheme="minorEastAsia" w:hAnsiTheme="minorEastAsia"/>
          <w:bCs/>
          <w:sz w:val="28"/>
          <w:szCs w:val="28"/>
        </w:rPr>
        <w:t xml:space="preserve">公司对于员工开展的教育和培训活动内容，主要由“新员工上岗培训、专业化培训、再教育培训、中高层管理人员培训、决策领导层培养”五个层次组成。公司已将员工培训工作上升到人才培养的高度，紧紧围绕“培养自己需要的人才”这一目标，结合每年年底各部门上报的培训需求，于每年年初制定公司的《年度培训计划》，并对培训目的、培训内容、培训对象、时间、经费、培训方式等做出具体明确的要求。 </w:t>
      </w:r>
    </w:p>
    <w:p>
      <w:pPr>
        <w:numPr>
          <w:ilvl w:val="0"/>
          <w:numId w:val="4"/>
        </w:numPr>
        <w:rPr>
          <w:rFonts w:asciiTheme="minorEastAsia" w:hAnsiTheme="minorEastAsia"/>
          <w:b/>
          <w:sz w:val="28"/>
          <w:szCs w:val="28"/>
        </w:rPr>
      </w:pPr>
      <w:r>
        <w:rPr>
          <w:rFonts w:hint="eastAsia" w:ascii="黑体" w:hAnsi="黑体" w:eastAsia="黑体"/>
          <w:b/>
          <w:sz w:val="28"/>
          <w:szCs w:val="28"/>
        </w:rPr>
        <w:t>员工的职业生涯规划</w:t>
      </w:r>
    </w:p>
    <w:p>
      <w:pPr>
        <w:spacing w:before="156" w:beforeLines="50" w:after="156" w:afterLines="50" w:line="360" w:lineRule="auto"/>
        <w:rPr>
          <w:rFonts w:asciiTheme="minorEastAsia" w:hAnsiTheme="minorEastAsia"/>
          <w:bCs/>
          <w:sz w:val="28"/>
          <w:szCs w:val="28"/>
        </w:rPr>
      </w:pPr>
      <w:r>
        <w:rPr>
          <w:rFonts w:hint="eastAsia" w:asciiTheme="minorEastAsia" w:hAnsiTheme="minorEastAsia"/>
          <w:b/>
          <w:sz w:val="28"/>
          <w:szCs w:val="28"/>
        </w:rPr>
        <w:t xml:space="preserve">   </w:t>
      </w:r>
      <w:r>
        <w:rPr>
          <w:rFonts w:hint="eastAsia" w:asciiTheme="minorEastAsia" w:hAnsiTheme="minorEastAsia"/>
          <w:bCs/>
          <w:sz w:val="28"/>
          <w:szCs w:val="28"/>
        </w:rPr>
        <w:t>为了更好的储备、培养和挖掘人才，建立合理的人才梯队，公司建立了岗位轮换机制。对一线生产班组长，生产骨干的岗位进行轮换。</w:t>
      </w:r>
    </w:p>
    <w:p>
      <w:pPr>
        <w:spacing w:before="156" w:beforeLines="50" w:after="156" w:afterLines="50" w:line="360" w:lineRule="auto"/>
        <w:rPr>
          <w:rFonts w:asciiTheme="minorEastAsia" w:hAnsiTheme="minorEastAsia"/>
          <w:bCs/>
          <w:sz w:val="28"/>
          <w:szCs w:val="28"/>
        </w:rPr>
      </w:pPr>
      <w:r>
        <w:rPr>
          <w:rFonts w:hint="eastAsia" w:asciiTheme="minorEastAsia" w:hAnsiTheme="minorEastAsia"/>
          <w:bCs/>
          <w:sz w:val="28"/>
          <w:szCs w:val="28"/>
        </w:rPr>
        <w:t>对新引进的专业的人才下基层进行轮岗锻炼，加强其生产意识和实践经验，通过对其锻炼期间的表现进行综合评定，选择符合公司人才规则的优秀员工进入管理层从事管理工作。</w:t>
      </w:r>
    </w:p>
    <w:p>
      <w:pPr>
        <w:spacing w:before="156" w:beforeLines="50" w:after="156" w:after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引导员工个人发展与公司发展相适应，为员工的职业发展提供了必要的支持。公司实施人才培训项目主要有：一、鼓励培养“一人多岗”“一岗多才”的复合型人才；二、对一些提升员工业务、技术素质的培训活动，由办公室上报公司分管领导批准后，公费为员工提供培训机会。</w:t>
      </w:r>
    </w:p>
    <w:p>
      <w:pPr>
        <w:numPr>
          <w:ilvl w:val="0"/>
          <w:numId w:val="4"/>
        </w:numPr>
        <w:rPr>
          <w:rFonts w:ascii="黑体" w:hAnsi="黑体" w:eastAsia="黑体"/>
          <w:b/>
          <w:sz w:val="28"/>
          <w:szCs w:val="28"/>
        </w:rPr>
      </w:pPr>
      <w:r>
        <w:rPr>
          <w:rFonts w:hint="eastAsia" w:ascii="黑体" w:hAnsi="黑体" w:eastAsia="黑体"/>
          <w:b/>
          <w:sz w:val="28"/>
          <w:szCs w:val="28"/>
        </w:rPr>
        <w:t>员工权益保护</w:t>
      </w:r>
    </w:p>
    <w:p>
      <w:pPr>
        <w:spacing w:before="156" w:beforeLines="50" w:after="156" w:afterLines="50" w:line="360" w:lineRule="auto"/>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公司认真贯彻执行《劳动法》等国家相关法律法规，依法与所有员工签订劳动合同，并将涉及员工利益的薪酬、劳动安全、社会保险与福利、职业培训、员工体检等内容进行具体规定，有效维护了员工的合法权益。</w:t>
      </w:r>
    </w:p>
    <w:p>
      <w:pPr>
        <w:spacing w:before="156" w:beforeLines="50" w:after="156" w:afterLines="50" w:line="360" w:lineRule="auto"/>
        <w:ind w:firstLine="560" w:firstLineChars="200"/>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公司每年定期组织员工进行健康体检，确保每位员工的身心健康；公司工会定期开展员工年度慰问及困难员工家庭慰问工作。</w:t>
      </w:r>
    </w:p>
    <w:p>
      <w:pPr>
        <w:jc w:val="center"/>
        <w:rPr>
          <w:rFonts w:asciiTheme="minorEastAsia" w:hAnsiTheme="minorEastAsia"/>
          <w:b/>
          <w:sz w:val="28"/>
          <w:szCs w:val="28"/>
        </w:rPr>
      </w:pPr>
      <w:r>
        <w:rPr>
          <w:rFonts w:hint="eastAsia" w:asciiTheme="minorEastAsia" w:hAnsiTheme="minorEastAsia"/>
          <w:b/>
          <w:sz w:val="28"/>
          <w:szCs w:val="28"/>
        </w:rPr>
        <w:t>公司每年都要组织的员工活动</w:t>
      </w:r>
    </w:p>
    <w:tbl>
      <w:tblPr>
        <w:tblStyle w:val="5"/>
        <w:tblW w:w="7920" w:type="dxa"/>
        <w:tblInd w:w="437" w:type="dxa"/>
        <w:tblLayout w:type="fixed"/>
        <w:tblCellMar>
          <w:top w:w="0" w:type="dxa"/>
          <w:left w:w="108" w:type="dxa"/>
          <w:bottom w:w="0" w:type="dxa"/>
          <w:right w:w="108" w:type="dxa"/>
        </w:tblCellMar>
      </w:tblPr>
      <w:tblGrid>
        <w:gridCol w:w="1125"/>
        <w:gridCol w:w="3555"/>
        <w:gridCol w:w="3240"/>
      </w:tblGrid>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宋体" w:hAnsi="宋体" w:eastAsia="宋体" w:cs="宋体"/>
                <w:color w:val="FFFFFF"/>
                <w:kern w:val="0"/>
                <w:sz w:val="24"/>
                <w:szCs w:val="24"/>
                <w:highlight w:val="none"/>
              </w:rPr>
            </w:pPr>
            <w:r>
              <w:rPr>
                <w:rFonts w:hint="eastAsia" w:ascii="宋体" w:hAnsi="宋体" w:eastAsia="宋体" w:cs="宋体"/>
                <w:color w:val="FFFFFF"/>
                <w:kern w:val="0"/>
                <w:sz w:val="24"/>
                <w:szCs w:val="24"/>
                <w:highlight w:val="none"/>
              </w:rPr>
              <w:t>序号</w:t>
            </w:r>
          </w:p>
        </w:tc>
        <w:tc>
          <w:tcPr>
            <w:tcW w:w="3555"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宋体" w:hAnsi="宋体" w:eastAsia="宋体" w:cs="宋体"/>
                <w:color w:val="FFFFFF"/>
                <w:kern w:val="0"/>
                <w:sz w:val="24"/>
                <w:szCs w:val="24"/>
                <w:highlight w:val="none"/>
              </w:rPr>
            </w:pPr>
            <w:r>
              <w:rPr>
                <w:rFonts w:hint="eastAsia" w:ascii="宋体" w:hAnsi="宋体" w:eastAsia="宋体" w:cs="宋体"/>
                <w:color w:val="FFFFFF"/>
                <w:kern w:val="0"/>
                <w:sz w:val="24"/>
                <w:szCs w:val="24"/>
                <w:highlight w:val="none"/>
              </w:rPr>
              <w:t>项目</w:t>
            </w:r>
          </w:p>
        </w:tc>
        <w:tc>
          <w:tcPr>
            <w:tcW w:w="3240" w:type="dxa"/>
            <w:tcBorders>
              <w:top w:val="single" w:color="4BACC6" w:sz="8" w:space="0"/>
              <w:left w:val="single" w:color="4BACC6" w:sz="8" w:space="0"/>
              <w:bottom w:val="single" w:color="FFFFFF" w:sz="4" w:space="0"/>
              <w:right w:val="single" w:color="4BACC6" w:sz="8" w:space="0"/>
            </w:tcBorders>
            <w:shd w:val="clear" w:color="auto" w:fill="4BACC6"/>
            <w:vAlign w:val="center"/>
          </w:tcPr>
          <w:p>
            <w:pPr>
              <w:widowControl/>
              <w:jc w:val="center"/>
              <w:rPr>
                <w:rFonts w:ascii="宋体" w:hAnsi="宋体" w:eastAsia="宋体" w:cs="宋体"/>
                <w:color w:val="FFFFFF"/>
                <w:kern w:val="0"/>
                <w:sz w:val="24"/>
                <w:szCs w:val="24"/>
                <w:highlight w:val="none"/>
              </w:rPr>
            </w:pPr>
            <w:r>
              <w:rPr>
                <w:rFonts w:hint="eastAsia" w:ascii="宋体" w:hAnsi="宋体" w:eastAsia="宋体" w:cs="宋体"/>
                <w:color w:val="FFFFFF"/>
                <w:kern w:val="0"/>
                <w:sz w:val="24"/>
                <w:szCs w:val="24"/>
                <w:highlight w:val="none"/>
              </w:rPr>
              <w:t>时间</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1</w:t>
            </w:r>
          </w:p>
        </w:tc>
        <w:tc>
          <w:tcPr>
            <w:tcW w:w="35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新年福利发放</w:t>
            </w:r>
          </w:p>
        </w:tc>
        <w:tc>
          <w:tcPr>
            <w:tcW w:w="32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农历新年假期之前</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p>
        </w:tc>
        <w:tc>
          <w:tcPr>
            <w:tcW w:w="35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新年红包发放</w:t>
            </w:r>
          </w:p>
        </w:tc>
        <w:tc>
          <w:tcPr>
            <w:tcW w:w="32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农历新年假期之前</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w:t>
            </w:r>
          </w:p>
        </w:tc>
        <w:tc>
          <w:tcPr>
            <w:tcW w:w="35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开工红包</w:t>
            </w:r>
          </w:p>
        </w:tc>
        <w:tc>
          <w:tcPr>
            <w:tcW w:w="32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新年开工之时</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4</w:t>
            </w:r>
          </w:p>
        </w:tc>
        <w:tc>
          <w:tcPr>
            <w:tcW w:w="35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外地员工车费报销</w:t>
            </w:r>
          </w:p>
        </w:tc>
        <w:tc>
          <w:tcPr>
            <w:tcW w:w="32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新年开工后</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5</w:t>
            </w:r>
          </w:p>
        </w:tc>
        <w:tc>
          <w:tcPr>
            <w:tcW w:w="35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三八妇女节福利发放</w:t>
            </w:r>
          </w:p>
        </w:tc>
        <w:tc>
          <w:tcPr>
            <w:tcW w:w="32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每年3月8日</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6</w:t>
            </w:r>
          </w:p>
        </w:tc>
        <w:tc>
          <w:tcPr>
            <w:tcW w:w="35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中秋节福利发放</w:t>
            </w:r>
          </w:p>
        </w:tc>
        <w:tc>
          <w:tcPr>
            <w:tcW w:w="32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每年中秋节</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7</w:t>
            </w:r>
          </w:p>
        </w:tc>
        <w:tc>
          <w:tcPr>
            <w:tcW w:w="3555"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员工体检</w:t>
            </w:r>
          </w:p>
        </w:tc>
        <w:tc>
          <w:tcPr>
            <w:tcW w:w="3240" w:type="dxa"/>
            <w:tcBorders>
              <w:top w:val="single" w:color="4BACC6" w:sz="8" w:space="0"/>
              <w:left w:val="single" w:color="4BACC6" w:sz="8" w:space="0"/>
              <w:bottom w:val="single" w:color="4BACC6" w:sz="8" w:space="0"/>
              <w:right w:val="single" w:color="4BACC6" w:sz="8" w:space="0"/>
            </w:tcBorders>
            <w:shd w:val="clear" w:color="auto" w:fill="FFFFFF"/>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每年</w:t>
            </w:r>
          </w:p>
        </w:tc>
      </w:tr>
      <w:tr>
        <w:tblPrEx>
          <w:tblCellMar>
            <w:top w:w="0" w:type="dxa"/>
            <w:left w:w="108" w:type="dxa"/>
            <w:bottom w:w="0" w:type="dxa"/>
            <w:right w:w="108" w:type="dxa"/>
          </w:tblCellMar>
        </w:tblPrEx>
        <w:trPr>
          <w:trHeight w:val="480" w:hRule="atLeast"/>
        </w:trPr>
        <w:tc>
          <w:tcPr>
            <w:tcW w:w="112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8</w:t>
            </w:r>
          </w:p>
        </w:tc>
        <w:tc>
          <w:tcPr>
            <w:tcW w:w="3555"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夏季时令用品发放</w:t>
            </w:r>
          </w:p>
        </w:tc>
        <w:tc>
          <w:tcPr>
            <w:tcW w:w="3240" w:type="dxa"/>
            <w:tcBorders>
              <w:top w:val="single" w:color="4BACC6" w:sz="8" w:space="0"/>
              <w:left w:val="single" w:color="4BACC6" w:sz="8" w:space="0"/>
              <w:bottom w:val="single" w:color="4BACC6" w:sz="8" w:space="0"/>
              <w:right w:val="single" w:color="4BACC6" w:sz="8" w:space="0"/>
            </w:tcBorders>
            <w:shd w:val="clear" w:color="auto" w:fill="B7DDE8"/>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每年</w:t>
            </w:r>
            <w:r>
              <w:rPr>
                <w:rFonts w:hint="eastAsia" w:ascii="宋体" w:hAnsi="宋体" w:eastAsia="宋体" w:cs="宋体"/>
                <w:color w:val="000000"/>
                <w:kern w:val="0"/>
                <w:sz w:val="24"/>
                <w:szCs w:val="24"/>
                <w:highlight w:val="none"/>
                <w:lang w:val="en-US" w:eastAsia="zh-CN"/>
              </w:rPr>
              <w:t>夏季</w:t>
            </w:r>
          </w:p>
        </w:tc>
      </w:tr>
    </w:tbl>
    <w:p>
      <w:pPr>
        <w:spacing w:line="360" w:lineRule="auto"/>
        <w:jc w:val="both"/>
        <w:rPr>
          <w:rFonts w:asciiTheme="minorEastAsia" w:hAnsiTheme="minorEastAsia"/>
          <w:bCs/>
          <w:sz w:val="28"/>
          <w:szCs w:val="28"/>
        </w:rPr>
      </w:pPr>
      <w:r>
        <w:rPr>
          <w:rFonts w:hint="eastAsia" w:asciiTheme="minorEastAsia" w:hAnsiTheme="minorEastAsia"/>
          <w:bCs/>
          <w:sz w:val="28"/>
          <w:szCs w:val="28"/>
        </w:rPr>
        <w:t>为确保对工作场所可能发生的紧急状态和危险情况，公司制定了应对各类突发事件的应急预案，如</w:t>
      </w:r>
      <w:r>
        <w:rPr>
          <w:rFonts w:hint="eastAsia" w:asciiTheme="minorEastAsia" w:hAnsiTheme="minorEastAsia"/>
          <w:bCs/>
          <w:color w:val="000000" w:themeColor="text1"/>
          <w:sz w:val="28"/>
          <w:szCs w:val="28"/>
          <w14:textFill>
            <w14:solidFill>
              <w14:schemeClr w14:val="tx1"/>
            </w14:solidFill>
          </w14:textFill>
        </w:rPr>
        <w:t>《火灾事故应急预案》、《</w:t>
      </w:r>
      <w:r>
        <w:rPr>
          <w:rFonts w:hint="eastAsia" w:ascii="宋体" w:hAnsi="宋体"/>
          <w:b w:val="0"/>
          <w:bCs w:val="0"/>
          <w:color w:val="000000" w:themeColor="text1"/>
          <w:sz w:val="28"/>
          <w:szCs w:val="28"/>
          <w14:textFill>
            <w14:solidFill>
              <w14:schemeClr w14:val="tx1"/>
            </w14:solidFill>
          </w14:textFill>
        </w:rPr>
        <w:t>气体泄漏、爆炸事故应急预案</w:t>
      </w:r>
      <w:r>
        <w:rPr>
          <w:rFonts w:hint="eastAsia" w:asciiTheme="minorEastAsia" w:hAnsiTheme="minorEastAsia"/>
          <w:b w:val="0"/>
          <w:bCs w:val="0"/>
          <w:color w:val="000000" w:themeColor="text1"/>
          <w:sz w:val="28"/>
          <w:szCs w:val="28"/>
          <w14:textFill>
            <w14:solidFill>
              <w14:schemeClr w14:val="tx1"/>
            </w14:solidFill>
          </w14:textFill>
        </w:rPr>
        <w:t>》、《</w:t>
      </w:r>
      <w:r>
        <w:rPr>
          <w:rFonts w:hint="eastAsia" w:ascii="宋体" w:hAnsi="宋体"/>
          <w:b w:val="0"/>
          <w:bCs w:val="0"/>
          <w:color w:val="000000" w:themeColor="text1"/>
          <w:sz w:val="28"/>
          <w:szCs w:val="28"/>
          <w14:textFill>
            <w14:solidFill>
              <w14:schemeClr w14:val="tx1"/>
            </w14:solidFill>
          </w14:textFill>
        </w:rPr>
        <w:t>化学品泄漏应急预案</w:t>
      </w:r>
      <w:r>
        <w:rPr>
          <w:rFonts w:hint="eastAsia" w:asciiTheme="minorEastAsia" w:hAnsiTheme="minorEastAsia"/>
          <w:b w:val="0"/>
          <w:bCs w:val="0"/>
          <w:color w:val="000000" w:themeColor="text1"/>
          <w:sz w:val="28"/>
          <w:szCs w:val="28"/>
          <w14:textFill>
            <w14:solidFill>
              <w14:schemeClr w14:val="tx1"/>
            </w14:solidFill>
          </w14:textFill>
        </w:rPr>
        <w:t>》</w:t>
      </w:r>
      <w:r>
        <w:rPr>
          <w:rFonts w:hint="eastAsia" w:asciiTheme="minorEastAsia" w:hAnsiTheme="minorEastAsia"/>
          <w:bCs/>
          <w:color w:val="000000" w:themeColor="text1"/>
          <w:sz w:val="28"/>
          <w:szCs w:val="28"/>
          <w14:textFill>
            <w14:solidFill>
              <w14:schemeClr w14:val="tx1"/>
            </w14:solidFill>
          </w14:textFill>
        </w:rPr>
        <w:t>、《食物中毒应急预案》</w:t>
      </w:r>
      <w:r>
        <w:rPr>
          <w:rFonts w:hint="eastAsia" w:asciiTheme="minorEastAsia" w:hAnsiTheme="minorEastAsia"/>
          <w:bCs/>
          <w:sz w:val="28"/>
          <w:szCs w:val="28"/>
        </w:rPr>
        <w:t>等涵盖了自然灾害、火灾的应急管理、人员伤害事故等各方面的应急管理。同时，公司加强对全体员工的安全教育培训，每年不定期进行应急预案演习，并作演习效果评估，对演习中存在的问题进行改进，不断提高公司的应急能力及员工处理各种紧急情况的能力。</w:t>
      </w:r>
    </w:p>
    <w:p>
      <w:pPr>
        <w:spacing w:before="156" w:beforeLines="50" w:after="156" w:afterLines="50" w:line="360" w:lineRule="auto"/>
        <w:ind w:firstLine="560" w:firstLineChars="200"/>
        <w:rPr>
          <w:rFonts w:ascii="黑体" w:hAnsi="黑体" w:eastAsia="黑体"/>
          <w:b/>
          <w:color w:val="000000" w:themeColor="text1"/>
          <w:sz w:val="32"/>
          <w:szCs w:val="32"/>
          <w14:textFill>
            <w14:solidFill>
              <w14:schemeClr w14:val="tx1"/>
            </w14:solidFill>
          </w14:textFill>
        </w:rPr>
      </w:pPr>
      <w:r>
        <w:rPr>
          <w:rFonts w:hint="eastAsia" w:asciiTheme="minorEastAsia" w:hAnsiTheme="minorEastAsia"/>
          <w:bCs/>
          <w:sz w:val="28"/>
          <w:szCs w:val="28"/>
        </w:rPr>
        <w:t xml:space="preserve">公司努力为员工创造和谐良好的工作氛围和环境。为此公司积极开展企业文化建设，开展企业职工新年晚会、职工技能比武、为困难职工家庭捐款、职工技能培训等文体活动，丰富员工工作和业余生活，构造和谐工作环境，激发员工爱心、积极性和创造性，提高了员工的满意和忠诚，促进公司和谐发展。 </w:t>
      </w:r>
    </w:p>
    <w:p>
      <w:pPr>
        <w:spacing w:before="156" w:beforeLines="50" w:after="156" w:afterLines="50" w:line="360" w:lineRule="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服务社会</w:t>
      </w:r>
    </w:p>
    <w:p>
      <w:pPr>
        <w:spacing w:before="156" w:beforeLines="50" w:line="360" w:lineRule="auto"/>
        <w:ind w:firstLine="560" w:firstLineChars="200"/>
        <w:rPr>
          <w:rFonts w:asciiTheme="minorEastAsia" w:hAnsiTheme="minorEastAsia"/>
          <w:bCs/>
          <w:sz w:val="28"/>
          <w:szCs w:val="28"/>
        </w:rPr>
      </w:pPr>
      <w:r>
        <w:rPr>
          <w:rFonts w:hint="eastAsia" w:asciiTheme="minorEastAsia" w:hAnsiTheme="minorEastAsia"/>
          <w:bCs/>
          <w:sz w:val="28"/>
          <w:szCs w:val="28"/>
        </w:rPr>
        <w:t>公司非常重视公益活动，根据公司的企业精神、愿景、使命与核心价值观等，通过公益事业，提升公司品牌知名度和美誉度。公益事业的费用列入公司的年度预算范围，由财务部负责综合协调和日常管理，制定年度公益支持计划，每年发布社会责任报告。</w:t>
      </w:r>
    </w:p>
    <w:p>
      <w:pPr>
        <w:spacing w:before="156" w:beforeLines="50" w:line="360" w:lineRule="auto"/>
        <w:ind w:firstLine="560"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Cs/>
          <w:sz w:val="28"/>
          <w:szCs w:val="28"/>
        </w:rPr>
        <w:t xml:space="preserve"> </w:t>
      </w:r>
      <w:r>
        <w:rPr>
          <w:rFonts w:hint="eastAsia" w:asciiTheme="minorEastAsia" w:hAnsiTheme="minorEastAsia"/>
          <w:bCs/>
          <w:sz w:val="28"/>
          <w:szCs w:val="28"/>
          <w:lang w:eastAsia="zh-CN"/>
        </w:rPr>
        <w:t>浙江露华实业有限公司</w:t>
      </w:r>
      <w:r>
        <w:rPr>
          <w:rFonts w:hint="eastAsia" w:asciiTheme="minorEastAsia" w:hAnsiTheme="minorEastAsia"/>
          <w:bCs/>
          <w:sz w:val="28"/>
          <w:szCs w:val="28"/>
        </w:rPr>
        <w:t>自成立以来，除在生产、研发及销售等主业上努力创造效益外，对于各项公益事业的投入也不遗余力。</w:t>
      </w:r>
    </w:p>
    <w:p>
      <w:pPr>
        <w:ind w:firstLine="562" w:firstLineChars="200"/>
        <w:jc w:val="center"/>
        <w:rPr>
          <w:rFonts w:asciiTheme="minorEastAsia" w:hAnsiTheme="minorEastAsia"/>
          <w:b/>
          <w:color w:val="000000" w:themeColor="text1"/>
          <w:sz w:val="28"/>
          <w:szCs w:val="28"/>
          <w14:textFill>
            <w14:solidFill>
              <w14:schemeClr w14:val="tx1"/>
            </w14:solidFill>
          </w14:textFill>
        </w:rPr>
      </w:pPr>
    </w:p>
    <w:p>
      <w:pPr>
        <w:ind w:firstLine="562" w:firstLineChars="200"/>
        <w:jc w:val="left"/>
        <w:rPr>
          <w:rFonts w:asciiTheme="minorEastAsia" w:hAnsiTheme="minorEastAsia"/>
          <w:b/>
          <w:color w:val="000000" w:themeColor="text1"/>
          <w:sz w:val="28"/>
          <w:szCs w:val="28"/>
          <w14:textFill>
            <w14:solidFill>
              <w14:schemeClr w14:val="tx1"/>
            </w14:solidFill>
          </w14:textFill>
        </w:rPr>
      </w:pPr>
    </w:p>
    <w:p>
      <w:pPr>
        <w:ind w:firstLine="562" w:firstLineChars="200"/>
        <w:jc w:val="left"/>
        <w:rPr>
          <w:rFonts w:hint="eastAsia" w:asciiTheme="minorEastAsia" w:hAnsiTheme="minorEastAsia" w:eastAsiaTheme="minorEastAsia"/>
          <w:b/>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联系方式：</w:t>
      </w:r>
      <w:r>
        <w:rPr>
          <w:rFonts w:hint="eastAsia" w:asciiTheme="minorEastAsia" w:hAnsiTheme="minorEastAsia"/>
          <w:b/>
          <w:color w:val="000000" w:themeColor="text1"/>
          <w:sz w:val="28"/>
          <w:szCs w:val="28"/>
          <w:lang w:eastAsia="zh-CN"/>
          <w14:textFill>
            <w14:solidFill>
              <w14:schemeClr w14:val="tx1"/>
            </w14:solidFill>
          </w14:textFill>
        </w:rPr>
        <w:t>浙江露华实业有限公司</w:t>
      </w:r>
    </w:p>
    <w:p>
      <w:pPr>
        <w:ind w:firstLine="562" w:firstLineChars="200"/>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地址：</w:t>
      </w:r>
      <w:r>
        <w:rPr>
          <w:rFonts w:hint="eastAsia" w:asciiTheme="minorEastAsia" w:hAnsiTheme="minorEastAsia"/>
          <w:b/>
          <w:color w:val="000000" w:themeColor="text1"/>
          <w:sz w:val="28"/>
          <w:szCs w:val="28"/>
          <w:lang w:eastAsia="zh-CN"/>
          <w14:textFill>
            <w14:solidFill>
              <w14:schemeClr w14:val="tx1"/>
            </w14:solidFill>
          </w14:textFill>
        </w:rPr>
        <w:t>浙江省临安区玲珑山路 598 号</w:t>
      </w:r>
      <w:r>
        <w:rPr>
          <w:rFonts w:hint="eastAsia" w:asciiTheme="minorEastAsia" w:hAnsiTheme="minorEastAsia"/>
          <w:b/>
          <w:color w:val="000000" w:themeColor="text1"/>
          <w:sz w:val="28"/>
          <w:szCs w:val="28"/>
          <w14:textFill>
            <w14:solidFill>
              <w14:schemeClr w14:val="tx1"/>
            </w14:solidFill>
          </w14:textFill>
        </w:rPr>
        <w:t xml:space="preserve"> </w:t>
      </w:r>
      <w:bookmarkStart w:id="1" w:name="_GoBack"/>
      <w:bookmarkEnd w:id="1"/>
    </w:p>
    <w:p>
      <w:pPr>
        <w:ind w:firstLine="562" w:firstLineChars="200"/>
        <w:rPr>
          <w:rFonts w:hint="default" w:asciiTheme="minorEastAsia" w:hAnsiTheme="minorEastAsia" w:eastAsiaTheme="minorEastAsia"/>
          <w:b/>
          <w:color w:val="000000" w:themeColor="text1"/>
          <w:sz w:val="28"/>
          <w:szCs w:val="28"/>
          <w:lang w:val="en-US" w:eastAsia="zh-CN"/>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电话：0</w:t>
      </w:r>
      <w:r>
        <w:rPr>
          <w:rFonts w:asciiTheme="minorEastAsia" w:hAnsiTheme="minorEastAsia"/>
          <w:b/>
          <w:color w:val="000000" w:themeColor="text1"/>
          <w:sz w:val="28"/>
          <w:szCs w:val="28"/>
          <w14:textFill>
            <w14:solidFill>
              <w14:schemeClr w14:val="tx1"/>
            </w14:solidFill>
          </w14:textFill>
        </w:rPr>
        <w:t>571</w:t>
      </w:r>
      <w:r>
        <w:rPr>
          <w:rFonts w:hint="eastAsia" w:asciiTheme="minorEastAsia" w:hAnsiTheme="minorEastAsia"/>
          <w:b/>
          <w:color w:val="000000" w:themeColor="text1"/>
          <w:sz w:val="28"/>
          <w:szCs w:val="28"/>
          <w14:textFill>
            <w14:solidFill>
              <w14:schemeClr w14:val="tx1"/>
            </w14:solidFill>
          </w14:textFill>
        </w:rPr>
        <w:t>-</w:t>
      </w:r>
      <w:r>
        <w:rPr>
          <w:rFonts w:hint="eastAsia" w:asciiTheme="minorEastAsia" w:hAnsiTheme="minorEastAsia"/>
          <w:b/>
          <w:color w:val="000000" w:themeColor="text1"/>
          <w:sz w:val="28"/>
          <w:szCs w:val="28"/>
          <w:lang w:val="en-US" w:eastAsia="zh-CN"/>
          <w14:textFill>
            <w14:solidFill>
              <w14:schemeClr w14:val="tx1"/>
            </w14:solidFill>
          </w14:textFill>
        </w:rPr>
        <w:t>58605518</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C1A4B"/>
    <w:multiLevelType w:val="singleLevel"/>
    <w:tmpl w:val="936C1A4B"/>
    <w:lvl w:ilvl="0" w:tentative="0">
      <w:start w:val="1"/>
      <w:numFmt w:val="chineseCounting"/>
      <w:suff w:val="nothing"/>
      <w:lvlText w:val="%1、"/>
      <w:lvlJc w:val="left"/>
      <w:rPr>
        <w:rFonts w:hint="eastAsia"/>
      </w:rPr>
    </w:lvl>
  </w:abstractNum>
  <w:abstractNum w:abstractNumId="1">
    <w:nsid w:val="97B3D9B4"/>
    <w:multiLevelType w:val="singleLevel"/>
    <w:tmpl w:val="97B3D9B4"/>
    <w:lvl w:ilvl="0" w:tentative="0">
      <w:start w:val="5"/>
      <w:numFmt w:val="decimal"/>
      <w:suff w:val="nothing"/>
      <w:lvlText w:val="%1、"/>
      <w:lvlJc w:val="left"/>
    </w:lvl>
  </w:abstractNum>
  <w:abstractNum w:abstractNumId="2">
    <w:nsid w:val="EAE445F9"/>
    <w:multiLevelType w:val="singleLevel"/>
    <w:tmpl w:val="EAE445F9"/>
    <w:lvl w:ilvl="0" w:tentative="0">
      <w:start w:val="1"/>
      <w:numFmt w:val="decimal"/>
      <w:suff w:val="space"/>
      <w:lvlText w:val="%1."/>
      <w:lvlJc w:val="left"/>
    </w:lvl>
  </w:abstractNum>
  <w:abstractNum w:abstractNumId="3">
    <w:nsid w:val="389C6390"/>
    <w:multiLevelType w:val="singleLevel"/>
    <w:tmpl w:val="389C6390"/>
    <w:lvl w:ilvl="0" w:tentative="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OGUwMGNkMjk5ZTFlYmM2MDI2ODBhNTg1NjhhZDYifQ=="/>
  </w:docVars>
  <w:rsids>
    <w:rsidRoot w:val="00894CA7"/>
    <w:rsid w:val="00014A42"/>
    <w:rsid w:val="000D4E47"/>
    <w:rsid w:val="002307D3"/>
    <w:rsid w:val="002409E4"/>
    <w:rsid w:val="002C1BE0"/>
    <w:rsid w:val="00380479"/>
    <w:rsid w:val="003B0EAC"/>
    <w:rsid w:val="003E0ACB"/>
    <w:rsid w:val="005D0A7A"/>
    <w:rsid w:val="00615EAC"/>
    <w:rsid w:val="00630816"/>
    <w:rsid w:val="006E4FA0"/>
    <w:rsid w:val="006F45DB"/>
    <w:rsid w:val="00792EF8"/>
    <w:rsid w:val="008344CA"/>
    <w:rsid w:val="008541E6"/>
    <w:rsid w:val="00894CA7"/>
    <w:rsid w:val="009B3892"/>
    <w:rsid w:val="009B49BA"/>
    <w:rsid w:val="00AD33DD"/>
    <w:rsid w:val="00B724A9"/>
    <w:rsid w:val="00DF7E0D"/>
    <w:rsid w:val="00E62C9F"/>
    <w:rsid w:val="02096EB6"/>
    <w:rsid w:val="03BF6645"/>
    <w:rsid w:val="050B030C"/>
    <w:rsid w:val="05332F62"/>
    <w:rsid w:val="07530B69"/>
    <w:rsid w:val="0930139D"/>
    <w:rsid w:val="0955321E"/>
    <w:rsid w:val="0A192DD6"/>
    <w:rsid w:val="0A5333E7"/>
    <w:rsid w:val="0AB55C37"/>
    <w:rsid w:val="0C0C0F11"/>
    <w:rsid w:val="0F93543F"/>
    <w:rsid w:val="104D4216"/>
    <w:rsid w:val="10B6681D"/>
    <w:rsid w:val="10E0417D"/>
    <w:rsid w:val="10EB643F"/>
    <w:rsid w:val="13806FDB"/>
    <w:rsid w:val="146172A1"/>
    <w:rsid w:val="14680E88"/>
    <w:rsid w:val="17C23754"/>
    <w:rsid w:val="18373CC1"/>
    <w:rsid w:val="18AE1154"/>
    <w:rsid w:val="18CC0A2E"/>
    <w:rsid w:val="1E8855B4"/>
    <w:rsid w:val="2C957DD3"/>
    <w:rsid w:val="2D2237EF"/>
    <w:rsid w:val="2EAB7FA8"/>
    <w:rsid w:val="313B0912"/>
    <w:rsid w:val="31636BD7"/>
    <w:rsid w:val="35FE4102"/>
    <w:rsid w:val="37AF30A7"/>
    <w:rsid w:val="39283B12"/>
    <w:rsid w:val="3AB45D62"/>
    <w:rsid w:val="3BC93DFF"/>
    <w:rsid w:val="3CA979E0"/>
    <w:rsid w:val="3E257F0D"/>
    <w:rsid w:val="3F0B3F01"/>
    <w:rsid w:val="4213685D"/>
    <w:rsid w:val="4229566F"/>
    <w:rsid w:val="42702B19"/>
    <w:rsid w:val="42F51B6C"/>
    <w:rsid w:val="45A1185D"/>
    <w:rsid w:val="460719E5"/>
    <w:rsid w:val="46482194"/>
    <w:rsid w:val="47A9320C"/>
    <w:rsid w:val="4D853C54"/>
    <w:rsid w:val="4E611EC5"/>
    <w:rsid w:val="50356123"/>
    <w:rsid w:val="508119D1"/>
    <w:rsid w:val="50EC1A9F"/>
    <w:rsid w:val="527025A2"/>
    <w:rsid w:val="52EA737F"/>
    <w:rsid w:val="53720762"/>
    <w:rsid w:val="53AE5B4B"/>
    <w:rsid w:val="565344ED"/>
    <w:rsid w:val="581F21EA"/>
    <w:rsid w:val="58427525"/>
    <w:rsid w:val="5A1F7486"/>
    <w:rsid w:val="5C1F1EEB"/>
    <w:rsid w:val="5CA95AB8"/>
    <w:rsid w:val="5E1F1A86"/>
    <w:rsid w:val="5F106799"/>
    <w:rsid w:val="624B1917"/>
    <w:rsid w:val="63EA7159"/>
    <w:rsid w:val="649F1E53"/>
    <w:rsid w:val="69182219"/>
    <w:rsid w:val="69E14A45"/>
    <w:rsid w:val="6F0F585E"/>
    <w:rsid w:val="7568637B"/>
    <w:rsid w:val="761045FC"/>
    <w:rsid w:val="765934AB"/>
    <w:rsid w:val="771C6089"/>
    <w:rsid w:val="7775368A"/>
    <w:rsid w:val="77DD1449"/>
    <w:rsid w:val="782D43A9"/>
    <w:rsid w:val="78522AB5"/>
    <w:rsid w:val="78C20E7B"/>
    <w:rsid w:val="79194888"/>
    <w:rsid w:val="7A5B3C01"/>
    <w:rsid w:val="7C0F24F2"/>
    <w:rsid w:val="7D13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7103</Words>
  <Characters>7250</Characters>
  <Lines>56</Lines>
  <Paragraphs>16</Paragraphs>
  <TotalTime>1</TotalTime>
  <ScaleCrop>false</ScaleCrop>
  <LinksUpToDate>false</LinksUpToDate>
  <CharactersWithSpaces>7488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2018-08-21T06:41:00Z</dcterms:created>
  <dc:creator>muye</dc:creator>
  <cp:lastModifiedBy>晨栖美满人生富足生活</cp:lastModifiedBy>
  <cp:lastPrinted>2018-08-23T08:02:00Z</cp:lastPrinted>
  <dcterms:modified xsi:type="dcterms:W3CDTF">2022-08-02T01:20:08Z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8EF8179B50944352B26CD5A06D19BE42</vt:lpwstr>
  </property>
</Properties>
</file>